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EC583" w14:textId="4D40E570" w:rsidR="0028105E" w:rsidRPr="00AE75E3" w:rsidRDefault="0028105E" w:rsidP="0028105E">
      <w:pPr>
        <w:tabs>
          <w:tab w:val="right" w:pos="9638"/>
        </w:tabs>
        <w:rPr>
          <w:rFonts w:ascii="Arial" w:hAnsi="Arial" w:cs="Arial"/>
          <w:b/>
          <w:bCs/>
          <w:sz w:val="24"/>
        </w:rPr>
      </w:pPr>
      <w:r>
        <w:rPr>
          <w:rFonts w:ascii="Arial" w:hAnsi="Arial" w:cs="Arial"/>
          <w:b/>
          <w:bCs/>
          <w:sz w:val="24"/>
        </w:rPr>
        <w:t xml:space="preserve">SA WG2 Meeting </w:t>
      </w:r>
      <w:r w:rsidR="006265A1" w:rsidRPr="00317852">
        <w:rPr>
          <w:rFonts w:ascii="Arial" w:hAnsi="Arial" w:cs="Arial"/>
          <w:b/>
          <w:noProof/>
          <w:sz w:val="24"/>
          <w:szCs w:val="24"/>
        </w:rPr>
        <w:t>#S2-1</w:t>
      </w:r>
      <w:r w:rsidR="006265A1">
        <w:rPr>
          <w:rFonts w:ascii="Arial" w:hAnsi="Arial" w:cs="Arial"/>
          <w:b/>
          <w:noProof/>
          <w:sz w:val="24"/>
          <w:szCs w:val="24"/>
        </w:rPr>
        <w:t>3</w:t>
      </w:r>
      <w:r w:rsidR="0028590D">
        <w:rPr>
          <w:rFonts w:ascii="Arial" w:hAnsi="Arial" w:cs="Arial"/>
          <w:b/>
          <w:noProof/>
          <w:sz w:val="24"/>
          <w:szCs w:val="24"/>
        </w:rPr>
        <w:t>1</w:t>
      </w:r>
      <w:r w:rsidRPr="00AE75E3">
        <w:rPr>
          <w:rFonts w:ascii="Arial" w:hAnsi="Arial" w:cs="Arial"/>
          <w:b/>
          <w:bCs/>
          <w:sz w:val="24"/>
        </w:rPr>
        <w:tab/>
      </w:r>
      <w:r w:rsidR="00CA457F" w:rsidRPr="00CA457F">
        <w:rPr>
          <w:rFonts w:ascii="Arial" w:hAnsi="Arial" w:cs="Arial"/>
          <w:b/>
          <w:bCs/>
          <w:sz w:val="24"/>
        </w:rPr>
        <w:t>S2-</w:t>
      </w:r>
      <w:r w:rsidR="00D23C67" w:rsidRPr="00D23C67">
        <w:rPr>
          <w:rFonts w:ascii="Arial" w:hAnsi="Arial" w:cs="Arial"/>
          <w:b/>
          <w:bCs/>
          <w:sz w:val="24"/>
        </w:rPr>
        <w:t>1901483</w:t>
      </w:r>
    </w:p>
    <w:p w14:paraId="3C1C0B4E" w14:textId="3A678B25" w:rsidR="00CE2E68" w:rsidRPr="00F76B76" w:rsidRDefault="00666983" w:rsidP="0028105E">
      <w:pPr>
        <w:pBdr>
          <w:bottom w:val="single" w:sz="6" w:space="0" w:color="auto"/>
        </w:pBdr>
        <w:tabs>
          <w:tab w:val="right" w:pos="9638"/>
        </w:tabs>
        <w:rPr>
          <w:rFonts w:ascii="Arial" w:hAnsi="Arial" w:cs="Arial"/>
          <w:b/>
          <w:bCs/>
          <w:sz w:val="24"/>
          <w:szCs w:val="24"/>
        </w:rPr>
      </w:pPr>
      <w:bookmarkStart w:id="0" w:name="_Hlk533157285"/>
      <w:r w:rsidRPr="00666983">
        <w:rPr>
          <w:rFonts w:ascii="Arial" w:hAnsi="Arial" w:cs="Arial"/>
          <w:b/>
          <w:noProof/>
          <w:sz w:val="24"/>
          <w:szCs w:val="24"/>
        </w:rPr>
        <w:t>25 February - 1 March, 2019, Santa Cruz - Tenerife</w:t>
      </w:r>
      <w:bookmarkEnd w:id="0"/>
      <w:r w:rsidR="009519C2">
        <w:rPr>
          <w:rFonts w:ascii="Arial" w:hAnsi="Arial" w:cs="Arial"/>
          <w:b/>
          <w:bCs/>
          <w:color w:val="0000FF"/>
        </w:rPr>
        <w:tab/>
      </w:r>
    </w:p>
    <w:p w14:paraId="1AEA8B93" w14:textId="602E3ABC"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460ED8">
        <w:rPr>
          <w:rFonts w:ascii="Arial" w:hAnsi="Arial" w:cs="Arial"/>
          <w:b/>
        </w:rPr>
        <w:t>Ericsson</w:t>
      </w:r>
      <w:r w:rsidR="00D32070">
        <w:rPr>
          <w:rFonts w:ascii="Arial" w:hAnsi="Arial" w:cs="Arial"/>
          <w:b/>
        </w:rPr>
        <w:t xml:space="preserve">, </w:t>
      </w:r>
      <w:r w:rsidR="00D32070" w:rsidRPr="00D32070">
        <w:rPr>
          <w:rFonts w:ascii="Arial" w:hAnsi="Arial" w:cs="Arial"/>
          <w:b/>
        </w:rPr>
        <w:t>T-Mobile</w:t>
      </w:r>
      <w:r w:rsidR="00A76188">
        <w:rPr>
          <w:rFonts w:ascii="Arial" w:hAnsi="Arial" w:cs="Arial"/>
          <w:b/>
        </w:rPr>
        <w:t xml:space="preserve"> USA</w:t>
      </w:r>
      <w:r w:rsidR="000E030C">
        <w:rPr>
          <w:rFonts w:ascii="Arial" w:hAnsi="Arial" w:cs="Arial"/>
          <w:b/>
        </w:rPr>
        <w:t>, AT&amp;T</w:t>
      </w:r>
      <w:r w:rsidR="00464BD7">
        <w:rPr>
          <w:rFonts w:ascii="Arial" w:hAnsi="Arial" w:cs="Arial"/>
          <w:b/>
        </w:rPr>
        <w:t>,</w:t>
      </w:r>
      <w:r w:rsidR="00026274" w:rsidRPr="00464BD7">
        <w:rPr>
          <w:rFonts w:ascii="Arial" w:hAnsi="Arial" w:cs="Arial"/>
          <w:b/>
        </w:rPr>
        <w:t xml:space="preserve"> </w:t>
      </w:r>
      <w:r w:rsidR="00C016C6" w:rsidRPr="00464BD7">
        <w:rPr>
          <w:rFonts w:ascii="Arial" w:hAnsi="Arial" w:cs="Arial"/>
          <w:b/>
        </w:rPr>
        <w:t xml:space="preserve">Huawei, </w:t>
      </w:r>
      <w:r w:rsidR="007A4840" w:rsidRPr="00464BD7">
        <w:rPr>
          <w:rFonts w:ascii="Arial" w:hAnsi="Arial" w:cs="Arial"/>
          <w:b/>
        </w:rPr>
        <w:t>OPPO</w:t>
      </w:r>
      <w:r w:rsidR="00137ED5">
        <w:rPr>
          <w:rFonts w:ascii="Arial" w:hAnsi="Arial" w:cs="Arial"/>
          <w:b/>
        </w:rPr>
        <w:t>, Verizon</w:t>
      </w:r>
      <w:bookmarkStart w:id="1" w:name="_GoBack"/>
      <w:bookmarkEnd w:id="1"/>
    </w:p>
    <w:p w14:paraId="32F950E2" w14:textId="77777777"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2" w:name="_Hlk517188540"/>
      <w:r w:rsidR="00460ED8">
        <w:rPr>
          <w:rFonts w:ascii="Arial" w:hAnsi="Arial" w:cs="Arial"/>
          <w:b/>
        </w:rPr>
        <w:t>Return to NG-RAN after EPS/RAT Fallback</w:t>
      </w:r>
    </w:p>
    <w:bookmarkEnd w:id="2"/>
    <w:p w14:paraId="21A0B6B6" w14:textId="77777777"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60ED8">
        <w:rPr>
          <w:rFonts w:ascii="Arial" w:hAnsi="Arial" w:cs="Arial"/>
          <w:b/>
        </w:rPr>
        <w:t>Discussion</w:t>
      </w:r>
    </w:p>
    <w:p w14:paraId="2D8E17F8"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834C69">
        <w:rPr>
          <w:rFonts w:ascii="Arial" w:hAnsi="Arial" w:cs="Arial"/>
          <w:b/>
        </w:rPr>
        <w:t>7.1</w:t>
      </w:r>
    </w:p>
    <w:p w14:paraId="3F3A533F"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834C69">
        <w:rPr>
          <w:rFonts w:ascii="Arial" w:hAnsi="Arial" w:cs="Arial"/>
          <w:b/>
          <w:lang w:eastAsia="zh-CN"/>
        </w:rPr>
        <w:t>TEI16</w:t>
      </w:r>
      <w:r w:rsidR="004B55A2">
        <w:rPr>
          <w:rFonts w:ascii="Arial" w:hAnsi="Arial" w:cs="Arial"/>
          <w:b/>
          <w:lang w:eastAsia="zh-CN"/>
        </w:rPr>
        <w:t>/Rel-16</w:t>
      </w:r>
    </w:p>
    <w:p w14:paraId="3B985CAC" w14:textId="77777777"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3" w:name="OLE_LINK6"/>
      <w:r w:rsidR="005D466F">
        <w:rPr>
          <w:rFonts w:ascii="Arial" w:hAnsi="Arial" w:cs="Arial"/>
          <w:i/>
          <w:lang w:eastAsia="zh-CN"/>
        </w:rPr>
        <w:t xml:space="preserve"> this paper discusse</w:t>
      </w:r>
      <w:r w:rsidR="00460ED8">
        <w:rPr>
          <w:rFonts w:ascii="Arial" w:hAnsi="Arial" w:cs="Arial"/>
          <w:i/>
          <w:lang w:eastAsia="zh-CN"/>
        </w:rPr>
        <w:t>s</w:t>
      </w:r>
      <w:r w:rsidR="005D466F">
        <w:rPr>
          <w:rFonts w:ascii="Arial" w:hAnsi="Arial" w:cs="Arial"/>
          <w:i/>
          <w:lang w:eastAsia="zh-CN"/>
        </w:rPr>
        <w:t xml:space="preserve"> how to optimise </w:t>
      </w:r>
      <w:r w:rsidR="00460ED8">
        <w:rPr>
          <w:rFonts w:ascii="Arial" w:hAnsi="Arial" w:cs="Arial"/>
          <w:i/>
          <w:lang w:eastAsia="zh-CN"/>
        </w:rPr>
        <w:t xml:space="preserve">return to </w:t>
      </w:r>
      <w:r w:rsidR="00CA136C">
        <w:rPr>
          <w:rFonts w:ascii="Arial" w:hAnsi="Arial" w:cs="Arial"/>
          <w:i/>
          <w:lang w:eastAsia="zh-CN"/>
        </w:rPr>
        <w:t xml:space="preserve">source </w:t>
      </w:r>
      <w:r w:rsidR="00460ED8">
        <w:rPr>
          <w:rFonts w:ascii="Arial" w:hAnsi="Arial" w:cs="Arial"/>
          <w:i/>
          <w:lang w:eastAsia="zh-CN"/>
        </w:rPr>
        <w:t>NG-RAN after EPS/RAT Fallback</w:t>
      </w:r>
      <w:r w:rsidR="00D13241" w:rsidRPr="00DB6B32">
        <w:rPr>
          <w:rFonts w:ascii="Arial" w:hAnsi="Arial" w:cs="Arial" w:hint="eastAsia"/>
          <w:i/>
          <w:lang w:eastAsia="zh-CN"/>
        </w:rPr>
        <w:t xml:space="preserve"> </w:t>
      </w:r>
      <w:bookmarkEnd w:id="3"/>
    </w:p>
    <w:p w14:paraId="5F280295" w14:textId="77777777" w:rsidR="00F85520" w:rsidRDefault="00CB7144" w:rsidP="00036FC7">
      <w:pPr>
        <w:pStyle w:val="Heading1"/>
        <w:jc w:val="both"/>
      </w:pPr>
      <w:r>
        <w:t>1</w:t>
      </w:r>
      <w:r w:rsidR="00F85520">
        <w:t>.</w:t>
      </w:r>
      <w:r w:rsidR="00F85520">
        <w:tab/>
      </w:r>
      <w:r w:rsidR="005D466F">
        <w:t>Introduction</w:t>
      </w:r>
    </w:p>
    <w:p w14:paraId="1CF7EEA4" w14:textId="77777777" w:rsidR="00A17F23" w:rsidRDefault="005D466F" w:rsidP="006265A1">
      <w:r>
        <w:t>When a</w:t>
      </w:r>
      <w:r w:rsidR="006265A1">
        <w:t xml:space="preserve"> UE performs EPS Fallback</w:t>
      </w:r>
      <w:r w:rsidR="000E030C">
        <w:t xml:space="preserve"> for IMS voice call</w:t>
      </w:r>
      <w:r w:rsidR="006265A1">
        <w:t>, then the current specification states that at least for the duration of the voice call in EPS the E-UTRAN is configured to not trigger any handover to 5GS. For RAT Fallback, there is a similar statement</w:t>
      </w:r>
      <w:r w:rsidR="00ED1FCB">
        <w:t xml:space="preserve"> such</w:t>
      </w:r>
      <w:r w:rsidR="006265A1">
        <w:t xml:space="preserve"> that at least for the duration of the IMS voice call the target NG-RAN is configured to not trigger inter NG-RAN handover back to source NG-RAN. According to current specification, there is no </w:t>
      </w:r>
      <w:r w:rsidR="00CF2C1C">
        <w:t>description</w:t>
      </w:r>
      <w:r w:rsidR="006265A1">
        <w:t xml:space="preserve"> to move the UE back to source NG-RAN after the voice call has been finished (and no other voice call has been initiated in EPS</w:t>
      </w:r>
      <w:r w:rsidR="00ED1FCB">
        <w:t xml:space="preserve"> / over the target RAN</w:t>
      </w:r>
      <w:r w:rsidR="006265A1">
        <w:t>)</w:t>
      </w:r>
      <w:r w:rsidR="00A17F23">
        <w:t>.</w:t>
      </w:r>
    </w:p>
    <w:p w14:paraId="6E8ABB41" w14:textId="77777777" w:rsidR="00A17F23" w:rsidRDefault="00A17F23" w:rsidP="00A17F23">
      <w:r>
        <w:t>Without a specification for return to NG-RAN after EPS/RAT Fallback, the UE may stay a long time on target E-UTRAN/NG</w:t>
      </w:r>
      <w:r w:rsidR="00CD167A">
        <w:t>-</w:t>
      </w:r>
      <w:r>
        <w:t>RAN (E-UTRAN connected to EPC or E-UTRA connected to 5GC) hence in worst case the UE may stay until being in idle mode</w:t>
      </w:r>
      <w:r w:rsidR="00930516">
        <w:t>, even if source NG-RAN is the preferred RAN</w:t>
      </w:r>
      <w:r>
        <w:t xml:space="preserve">, which may negatively impact the user experience. </w:t>
      </w:r>
      <w:r w:rsidR="00CD167A">
        <w:t xml:space="preserve">The only reason for moving the UE from source NG-RAN to target E-UTRAN/NG-RAN was to establish the voice call; hence the UE may still be in good source NG-RAN coverage. The operator may even prefer that the UE is served by source NG-RAN, e.g. for capacity reason but also because wanting to keep such UEs on NG-RAN </w:t>
      </w:r>
      <w:proofErr w:type="gramStart"/>
      <w:r w:rsidR="00CD167A">
        <w:t>as long as</w:t>
      </w:r>
      <w:proofErr w:type="gramEnd"/>
      <w:r w:rsidR="00CD167A">
        <w:t xml:space="preserve"> possible, especially in case of EPS Fallback.</w:t>
      </w:r>
    </w:p>
    <w:p w14:paraId="0B2E65A5" w14:textId="517A6FEF" w:rsidR="006265A1" w:rsidRDefault="006265A1" w:rsidP="006265A1"/>
    <w:p w14:paraId="0DFE17C0" w14:textId="77777777" w:rsidR="00A17F23" w:rsidRDefault="00A17F23" w:rsidP="00A17F23">
      <w:pPr>
        <w:pStyle w:val="Heading1"/>
        <w:jc w:val="both"/>
      </w:pPr>
      <w:r>
        <w:t>2.</w:t>
      </w:r>
      <w:r>
        <w:tab/>
        <w:t>Background</w:t>
      </w:r>
    </w:p>
    <w:p w14:paraId="70182386" w14:textId="0D3BDB3C" w:rsidR="004D61FD" w:rsidRDefault="004D61FD" w:rsidP="008A651E">
      <w:pPr>
        <w:pStyle w:val="Heading2"/>
      </w:pPr>
      <w:r>
        <w:t>2.1</w:t>
      </w:r>
      <w:r>
        <w:tab/>
        <w:t xml:space="preserve">Returning back to E-UTRAN in </w:t>
      </w:r>
      <w:r w:rsidR="000000A5">
        <w:t xml:space="preserve">TS </w:t>
      </w:r>
      <w:r>
        <w:t xml:space="preserve">23.272 and </w:t>
      </w:r>
      <w:r w:rsidR="000000A5">
        <w:t xml:space="preserve">TS </w:t>
      </w:r>
      <w:r>
        <w:t>23.2</w:t>
      </w:r>
      <w:r w:rsidR="00E62018">
        <w:t>16</w:t>
      </w:r>
    </w:p>
    <w:p w14:paraId="67E1EC0D" w14:textId="7631D07C" w:rsidR="00C422AE" w:rsidRDefault="00C422AE" w:rsidP="006265A1">
      <w:r>
        <w:t xml:space="preserve">If looking at similar (but not same) cases in 4G, when the UE was moved to GERAN/UTRAN due to CSFB or SRVCC, then there are specifications in TS 23.272 and TS 23.216 related to </w:t>
      </w:r>
      <w:proofErr w:type="gramStart"/>
      <w:r>
        <w:t>returning back</w:t>
      </w:r>
      <w:proofErr w:type="gramEnd"/>
      <w:r>
        <w:t xml:space="preserve"> to E-UTRAN</w:t>
      </w:r>
      <w:r w:rsidR="00CF2C1C">
        <w:t>:</w:t>
      </w:r>
    </w:p>
    <w:p w14:paraId="61299D9D" w14:textId="77777777" w:rsidR="00505258" w:rsidRPr="00C422AE" w:rsidRDefault="00CF2C1C" w:rsidP="00CF2C1C">
      <w:pPr>
        <w:numPr>
          <w:ilvl w:val="0"/>
          <w:numId w:val="1"/>
        </w:numPr>
      </w:pPr>
      <w:r w:rsidRPr="00C422AE">
        <w:rPr>
          <w:lang w:val="en-US"/>
        </w:rPr>
        <w:t xml:space="preserve">23.272: </w:t>
      </w:r>
      <w:proofErr w:type="gramStart"/>
      <w:r w:rsidRPr="00C422AE">
        <w:rPr>
          <w:b/>
          <w:bCs/>
          <w:lang w:val="en-US"/>
        </w:rPr>
        <w:t>Returning back</w:t>
      </w:r>
      <w:proofErr w:type="gramEnd"/>
      <w:r w:rsidRPr="00C422AE">
        <w:rPr>
          <w:b/>
          <w:bCs/>
          <w:lang w:val="en-US"/>
        </w:rPr>
        <w:t xml:space="preserve"> to E-UTRAN</w:t>
      </w:r>
    </w:p>
    <w:p w14:paraId="149089A6" w14:textId="77777777" w:rsidR="00505258" w:rsidRPr="004701CB" w:rsidRDefault="00CF2C1C" w:rsidP="004701CB">
      <w:pPr>
        <w:numPr>
          <w:ilvl w:val="1"/>
          <w:numId w:val="1"/>
        </w:numPr>
      </w:pPr>
      <w:r w:rsidRPr="004701CB">
        <w:rPr>
          <w:lang w:val="en-US"/>
        </w:rPr>
        <w:t xml:space="preserve">Once CS service ends in CS domain, </w:t>
      </w:r>
      <w:r w:rsidRPr="004701CB">
        <w:rPr>
          <w:bCs/>
          <w:lang w:val="en-US"/>
        </w:rPr>
        <w:t>existing mechanisms can be used t</w:t>
      </w:r>
      <w:r w:rsidRPr="004701CB">
        <w:rPr>
          <w:lang w:val="en-US"/>
        </w:rPr>
        <w:t>o move the UE to E</w:t>
      </w:r>
      <w:r w:rsidRPr="004701CB">
        <w:rPr>
          <w:lang w:val="en-US"/>
        </w:rPr>
        <w:noBreakHyphen/>
        <w:t>UTRAN, no specific CS Fallback mechanisms are needed.</w:t>
      </w:r>
      <w:r w:rsidR="004701CB">
        <w:rPr>
          <w:lang w:val="en-US"/>
        </w:rPr>
        <w:br/>
      </w:r>
      <w:r w:rsidR="004701CB" w:rsidRPr="004701CB">
        <w:rPr>
          <w:lang w:val="en-US"/>
        </w:rPr>
        <w:t xml:space="preserve"> </w:t>
      </w:r>
      <w:r w:rsidR="004701CB">
        <w:rPr>
          <w:lang w:val="en-US"/>
        </w:rPr>
        <w:br/>
      </w:r>
      <w:r w:rsidRPr="004701CB">
        <w:rPr>
          <w:lang w:val="en-US"/>
        </w:rPr>
        <w:t xml:space="preserve">During the release of an RR connection the </w:t>
      </w:r>
      <w:r w:rsidRPr="004701CB">
        <w:rPr>
          <w:bCs/>
          <w:lang w:val="en-US"/>
        </w:rPr>
        <w:t xml:space="preserve">MSC should indicate to GERAN/UTRAN that the RR connection (for call or CISS or LCS) was established </w:t>
      </w:r>
      <w:proofErr w:type="gramStart"/>
      <w:r w:rsidRPr="004701CB">
        <w:rPr>
          <w:bCs/>
          <w:lang w:val="en-US"/>
        </w:rPr>
        <w:t>as a result of</w:t>
      </w:r>
      <w:proofErr w:type="gramEnd"/>
      <w:r w:rsidRPr="004701CB">
        <w:rPr>
          <w:bCs/>
          <w:lang w:val="en-US"/>
        </w:rPr>
        <w:t xml:space="preserve"> CS fallback</w:t>
      </w:r>
      <w:r w:rsidRPr="004701CB">
        <w:rPr>
          <w:lang w:val="en-US"/>
        </w:rPr>
        <w:t>. GERAN and UTRAN may use the indication to determine which of the existing mechanisms should be used to move the UE to E</w:t>
      </w:r>
      <w:r w:rsidRPr="004701CB">
        <w:rPr>
          <w:lang w:val="en-US"/>
        </w:rPr>
        <w:noBreakHyphen/>
        <w:t>UTRAN.</w:t>
      </w:r>
      <w:r w:rsidR="004701CB">
        <w:br/>
      </w:r>
      <w:r w:rsidR="004701CB">
        <w:br/>
      </w:r>
      <w:r w:rsidRPr="004701CB">
        <w:rPr>
          <w:lang w:val="en-US"/>
        </w:rPr>
        <w:t>When configured to support the return to the last used PLMN after CSFB, after a successful setup of an RR connection or during the release of the UTRAN RR connection</w:t>
      </w:r>
      <w:r w:rsidRPr="004701CB">
        <w:rPr>
          <w:bCs/>
          <w:lang w:val="en-US"/>
        </w:rPr>
        <w:t xml:space="preserve">, the MSC shall further indicate to GERAN/UTRAN the last used LTE PLMN ID. </w:t>
      </w:r>
      <w:r w:rsidRPr="004701CB">
        <w:rPr>
          <w:lang w:val="en-US"/>
        </w:rPr>
        <w:t>GERAN and UTRAN shall take the last used LTE PLMN ID into account when selecting the target cell in PS handover to E-UTRAN or when selecting the dedicated target frequency list for idle mode mobility to E-UTRAN in RR Connection Release procedure.</w:t>
      </w:r>
    </w:p>
    <w:p w14:paraId="07FD5137" w14:textId="77777777" w:rsidR="00505258" w:rsidRPr="00C422AE" w:rsidRDefault="00CF2C1C" w:rsidP="00CF2C1C">
      <w:pPr>
        <w:numPr>
          <w:ilvl w:val="0"/>
          <w:numId w:val="1"/>
        </w:numPr>
      </w:pPr>
      <w:r w:rsidRPr="00C422AE">
        <w:rPr>
          <w:lang w:val="en-US"/>
        </w:rPr>
        <w:t xml:space="preserve">23.216 </w:t>
      </w:r>
      <w:r w:rsidRPr="00C422AE">
        <w:rPr>
          <w:b/>
          <w:bCs/>
          <w:lang w:val="en-US"/>
        </w:rPr>
        <w:t>Returning back to E-UTRAN</w:t>
      </w:r>
    </w:p>
    <w:p w14:paraId="1C216F64" w14:textId="77777777" w:rsidR="00C422AE" w:rsidRPr="004701CB" w:rsidRDefault="00CF2C1C" w:rsidP="004701CB">
      <w:pPr>
        <w:numPr>
          <w:ilvl w:val="1"/>
          <w:numId w:val="1"/>
        </w:numPr>
        <w:rPr>
          <w:lang w:val="en-US"/>
        </w:rPr>
      </w:pPr>
      <w:r w:rsidRPr="00C422AE">
        <w:rPr>
          <w:lang w:val="en-US"/>
        </w:rPr>
        <w:lastRenderedPageBreak/>
        <w:t>Once CS service ends in CS domain, existing mechanisms as specified in TS 23.401 [2] and TS 23.060 [10] can be used to move the UE to E-UTRAN e.g. by prioritizing E-UTRAN over GERAN/UTRAN.</w:t>
      </w:r>
      <w:r w:rsidR="004701CB">
        <w:rPr>
          <w:lang w:val="en-US"/>
        </w:rPr>
        <w:br/>
      </w:r>
      <w:r w:rsidR="004701CB">
        <w:rPr>
          <w:lang w:val="en-US"/>
        </w:rPr>
        <w:br/>
      </w:r>
      <w:r w:rsidRPr="004701CB">
        <w:rPr>
          <w:lang w:val="en-US"/>
        </w:rPr>
        <w:t>NOTE:</w:t>
      </w:r>
      <w:r w:rsidRPr="004701CB">
        <w:rPr>
          <w:lang w:val="en-US"/>
        </w:rPr>
        <w:tab/>
        <w:t>The BSC/RNC can consider the availability of E-UTRAN.</w:t>
      </w:r>
      <w:r w:rsidR="004701CB">
        <w:rPr>
          <w:lang w:val="en-US"/>
        </w:rPr>
        <w:br/>
      </w:r>
      <w:r w:rsidR="004701CB">
        <w:rPr>
          <w:lang w:val="en-US"/>
        </w:rPr>
        <w:br/>
      </w:r>
      <w:r w:rsidRPr="004701CB">
        <w:rPr>
          <w:lang w:val="en-US"/>
        </w:rPr>
        <w:t>When configured to support the return to E-UTRAN after SRVCC, the MSC shall indicate this to GERAN/UTRAN during the release of an RR connection that was established for SRVCC, e.g. by indicating the last used E-UTRAN PLMN. GERAN and UTRAN may use the indication from the MSC to determine which of the existing mechanisms that should be used to move the UE to E-UTRAN, see also TS 23.272 [42].</w:t>
      </w:r>
    </w:p>
    <w:p w14:paraId="49BB22F3" w14:textId="77777777" w:rsidR="00C422AE" w:rsidRPr="008034A3" w:rsidRDefault="00C422AE" w:rsidP="006265A1">
      <w:r>
        <w:t xml:space="preserve">In both cases, </w:t>
      </w:r>
      <w:r w:rsidR="00CF2C1C">
        <w:t xml:space="preserve">GERAN/UTRAN </w:t>
      </w:r>
      <w:r>
        <w:t xml:space="preserve">is made aware of the reason why the UE was moved to GERAN/UTRAN and then to leave it up to GERAN/UTRAN to </w:t>
      </w:r>
      <w:r w:rsidRPr="00C422AE">
        <w:rPr>
          <w:lang w:val="en-US"/>
        </w:rPr>
        <w:t>determine which of the existing mechanisms should be used to move the UE to E</w:t>
      </w:r>
      <w:r w:rsidRPr="00C422AE">
        <w:rPr>
          <w:lang w:val="en-US"/>
        </w:rPr>
        <w:noBreakHyphen/>
        <w:t>UTRAN</w:t>
      </w:r>
      <w:r w:rsidR="00CF2C1C">
        <w:rPr>
          <w:lang w:val="en-US"/>
        </w:rPr>
        <w:t>.</w:t>
      </w:r>
    </w:p>
    <w:p w14:paraId="39D3CFA1" w14:textId="6EAEA72E" w:rsidR="00E62018" w:rsidRDefault="00E62018" w:rsidP="00E62018">
      <w:pPr>
        <w:pStyle w:val="Heading2"/>
      </w:pPr>
      <w:r>
        <w:t>2.1</w:t>
      </w:r>
      <w:r>
        <w:tab/>
        <w:t>R</w:t>
      </w:r>
      <w:r w:rsidR="00742A8A">
        <w:t>FS</w:t>
      </w:r>
      <w:r>
        <w:t>P</w:t>
      </w:r>
    </w:p>
    <w:p w14:paraId="4ED851B0" w14:textId="5812191D" w:rsidR="00C45BA8" w:rsidRPr="00160271" w:rsidRDefault="00C45BA8" w:rsidP="00CA1D61">
      <w:r w:rsidRPr="00160271">
        <w:t xml:space="preserve">RFSP (or SPID as it </w:t>
      </w:r>
      <w:r w:rsidR="00470A19" w:rsidRPr="00160271">
        <w:t>may be</w:t>
      </w:r>
      <w:r w:rsidRPr="00160271">
        <w:t xml:space="preserve"> referred to</w:t>
      </w:r>
      <w:r w:rsidR="00FD6C0F">
        <w:t xml:space="preserve"> in e.g</w:t>
      </w:r>
      <w:r w:rsidR="00745F60">
        <w:t>.</w:t>
      </w:r>
      <w:r w:rsidR="00FD6C0F">
        <w:t xml:space="preserve"> 36.413</w:t>
      </w:r>
      <w:r w:rsidRPr="00160271">
        <w:t>) can be used according to TS 23.401</w:t>
      </w:r>
    </w:p>
    <w:p w14:paraId="2FFCC484" w14:textId="77777777" w:rsidR="00C45BA8" w:rsidRPr="00160271" w:rsidRDefault="00C45BA8" w:rsidP="00160271">
      <w:pPr>
        <w:pStyle w:val="ListParagraph"/>
        <w:numPr>
          <w:ilvl w:val="0"/>
          <w:numId w:val="6"/>
        </w:numPr>
        <w:ind w:firstLineChars="0"/>
      </w:pPr>
      <w:r w:rsidRPr="00160271">
        <w:rPr>
          <w:rFonts w:ascii="Arial" w:hAnsi="Arial"/>
          <w:noProof/>
        </w:rPr>
        <w:t xml:space="preserve">to </w:t>
      </w:r>
      <w:r w:rsidRPr="00160271">
        <w:t xml:space="preserve">derive UE specific cell reselection priorities to control idle mode camping and </w:t>
      </w:r>
    </w:p>
    <w:p w14:paraId="558AB1B5" w14:textId="27923B61" w:rsidR="00C45BA8" w:rsidRPr="00160271" w:rsidRDefault="00C45BA8" w:rsidP="00160271">
      <w:pPr>
        <w:pStyle w:val="ListParagraph"/>
        <w:numPr>
          <w:ilvl w:val="0"/>
          <w:numId w:val="6"/>
        </w:numPr>
        <w:ind w:firstLineChars="0"/>
      </w:pPr>
      <w:r w:rsidRPr="00160271">
        <w:t xml:space="preserve">to decide on redirecting active mode UEs to different frequency layers or RATs, </w:t>
      </w:r>
    </w:p>
    <w:p w14:paraId="62F06E29" w14:textId="613EB44E" w:rsidR="00E56099" w:rsidRPr="00160271" w:rsidRDefault="006B5F25" w:rsidP="00E56099">
      <w:r w:rsidRPr="00160271">
        <w:t>The RFSP index</w:t>
      </w:r>
      <w:r w:rsidR="00AD1593" w:rsidRPr="00160271">
        <w:t xml:space="preserve"> is an index to specific RRM configuration in the E-UTRAN</w:t>
      </w:r>
      <w:r w:rsidRPr="00160271">
        <w:t xml:space="preserve"> </w:t>
      </w:r>
      <w:r w:rsidR="00AD1593" w:rsidRPr="00160271">
        <w:t xml:space="preserve">and </w:t>
      </w:r>
      <w:r w:rsidRPr="00160271">
        <w:t>is provided by the MME</w:t>
      </w:r>
      <w:r w:rsidR="00677D34" w:rsidRPr="00160271">
        <w:t xml:space="preserve"> to the eNB and mapped in the eNB</w:t>
      </w:r>
      <w:r w:rsidR="000571A6" w:rsidRPr="00160271">
        <w:t xml:space="preserve"> </w:t>
      </w:r>
      <w:r w:rsidR="00677D34" w:rsidRPr="00160271">
        <w:t>to locally defined configuration to apply specif</w:t>
      </w:r>
      <w:r w:rsidR="00745F60">
        <w:t>i</w:t>
      </w:r>
      <w:r w:rsidR="00677D34" w:rsidRPr="00160271">
        <w:t>c RRM strategies.</w:t>
      </w:r>
      <w:r w:rsidR="00AE2AAC" w:rsidRPr="00160271">
        <w:t xml:space="preserve"> </w:t>
      </w:r>
      <w:r w:rsidR="00E64614">
        <w:t xml:space="preserve">SPID </w:t>
      </w:r>
      <w:r w:rsidR="00F068C8">
        <w:t xml:space="preserve">is an INTEGER and of value </w:t>
      </w:r>
      <w:r w:rsidR="00E64614" w:rsidRPr="00567372">
        <w:rPr>
          <w:rFonts w:cs="Arial"/>
        </w:rPr>
        <w:t>1</w:t>
      </w:r>
      <w:proofErr w:type="gramStart"/>
      <w:r w:rsidR="00400A4D">
        <w:rPr>
          <w:rFonts w:cs="Arial"/>
        </w:rPr>
        <w:t xml:space="preserve"> </w:t>
      </w:r>
      <w:r w:rsidR="00E64614" w:rsidRPr="00567372">
        <w:rPr>
          <w:rFonts w:cs="Arial"/>
        </w:rPr>
        <w:t>..</w:t>
      </w:r>
      <w:proofErr w:type="gramEnd"/>
      <w:r w:rsidR="00400A4D">
        <w:rPr>
          <w:rFonts w:cs="Arial"/>
        </w:rPr>
        <w:t xml:space="preserve"> </w:t>
      </w:r>
      <w:r w:rsidR="00E64614" w:rsidRPr="00567372">
        <w:rPr>
          <w:rFonts w:cs="Arial"/>
        </w:rPr>
        <w:t>256</w:t>
      </w:r>
      <w:r w:rsidR="00F068C8">
        <w:rPr>
          <w:rFonts w:cs="Arial"/>
        </w:rPr>
        <w:t xml:space="preserve">. </w:t>
      </w:r>
      <w:r w:rsidR="00AE2AAC" w:rsidRPr="00160271">
        <w:t>The RFSP index is UE specific and applies to all the radio bearer</w:t>
      </w:r>
      <w:r w:rsidR="00470A19" w:rsidRPr="00160271">
        <w:t>s</w:t>
      </w:r>
      <w:r w:rsidR="00AE2AAC" w:rsidRPr="00160271">
        <w:t xml:space="preserve">. </w:t>
      </w:r>
      <w:r w:rsidR="004E364B">
        <w:t>SPID</w:t>
      </w:r>
      <w:r w:rsidR="00FC0F81">
        <w:t xml:space="preserve"> </w:t>
      </w:r>
      <w:r w:rsidR="00C07084">
        <w:t>may also be used to categorize the subscriber in the RAN</w:t>
      </w:r>
      <w:r w:rsidR="00175E12">
        <w:t>, e.g. for a transient use case</w:t>
      </w:r>
      <w:r w:rsidR="00C07084">
        <w:t xml:space="preserve">. </w:t>
      </w:r>
      <w:r w:rsidR="00AE2AAC" w:rsidRPr="00160271">
        <w:t xml:space="preserve">The MME receives the subscribed RFSP index from the HSS (e.g. during the </w:t>
      </w:r>
      <w:r w:rsidR="00E51A3F" w:rsidRPr="00160271">
        <w:t>A</w:t>
      </w:r>
      <w:r w:rsidR="00AE2AAC" w:rsidRPr="00160271">
        <w:t>ttach procedure)</w:t>
      </w:r>
      <w:r w:rsidR="00E56099" w:rsidRPr="00160271">
        <w:t>. For non-roaming subscribers the MME chooses the RFSP Index in use according to one of the following procedures, depending on operator's configuration:</w:t>
      </w:r>
    </w:p>
    <w:p w14:paraId="3CBF0837" w14:textId="585991F7" w:rsidR="00E56099" w:rsidRPr="00160271" w:rsidRDefault="00E56099" w:rsidP="00160271">
      <w:pPr>
        <w:pStyle w:val="ListParagraph"/>
        <w:numPr>
          <w:ilvl w:val="0"/>
          <w:numId w:val="7"/>
        </w:numPr>
        <w:ind w:firstLineChars="0"/>
      </w:pPr>
      <w:r w:rsidRPr="00160271">
        <w:t>the RFSP Index in use is identical to the subscribed RFSP Index, or</w:t>
      </w:r>
    </w:p>
    <w:p w14:paraId="07AB0059" w14:textId="6BB7A353" w:rsidR="00E56099" w:rsidRPr="00160271" w:rsidRDefault="00E56099" w:rsidP="00160271">
      <w:pPr>
        <w:pStyle w:val="ListParagraph"/>
        <w:numPr>
          <w:ilvl w:val="0"/>
          <w:numId w:val="7"/>
        </w:numPr>
        <w:ind w:firstLineChars="0"/>
      </w:pPr>
      <w:r w:rsidRPr="00160271">
        <w:t>the MME chooses the RFSP Index in use based on the subscribed RFSP Index, the locally configured operator's policies and the UE related context information available at the MME, including UE's usage setting and voice domain preference for E-UTRAN, if received during Attach and Tracking Area Update procedures.</w:t>
      </w:r>
    </w:p>
    <w:p w14:paraId="46390C0E" w14:textId="62B423BA" w:rsidR="00E56099" w:rsidRPr="00160271" w:rsidRDefault="00E56099" w:rsidP="00E56099">
      <w:r w:rsidRPr="00160271">
        <w:t xml:space="preserve">One example of how the MME can use the "UE voice capabilities and settings" is to select an RFSP value that enforces idle mode camping on 2G/3G for a UE acting in a "Voice centric" way and provisioned with "CS Voice preferred, IMS Voice as secondary", </w:t>
      </w:r>
      <w:proofErr w:type="gramStart"/>
      <w:r w:rsidRPr="00160271">
        <w:t>in order to</w:t>
      </w:r>
      <w:proofErr w:type="gramEnd"/>
      <w:r w:rsidRPr="00160271">
        <w:t xml:space="preserve"> minimize the </w:t>
      </w:r>
      <w:r w:rsidR="00745F60" w:rsidRPr="00160271">
        <w:t>occurrenc</w:t>
      </w:r>
      <w:r w:rsidR="00745F60">
        <w:t>e</w:t>
      </w:r>
      <w:r w:rsidRPr="00160271">
        <w:t xml:space="preserve"> of RAT changes. Another example is the selection of an RFSP value that prevents idle mode camping on 2G for a UE provisioned with "IMS PS voice preferred, CS Voice as secondary" if other RATs supporting IMS Voice are available, as the UE would in such case always select the CS domain for its voice calls.</w:t>
      </w:r>
    </w:p>
    <w:p w14:paraId="4111DB12" w14:textId="495A52EA" w:rsidR="006B5F25" w:rsidRDefault="00E56099" w:rsidP="00E56099">
      <w:r w:rsidRPr="00160271">
        <w:t>For roaming subscribers</w:t>
      </w:r>
      <w:r w:rsidR="00AC02B0">
        <w:t>,</w:t>
      </w:r>
      <w:r w:rsidRPr="00160271">
        <w:t xml:space="preserve"> the MME may alternatively choose the RFSP Index in use based on the visited network </w:t>
      </w:r>
      <w:r w:rsidR="00AC02B0" w:rsidRPr="00160271">
        <w:t>policy but</w:t>
      </w:r>
      <w:r w:rsidRPr="00160271">
        <w:t xml:space="preserve"> can take input from the HPLMN into account (e.g., an RFSP Index value pre-configured per HPLMN, or a single RFSP Index value to be used for all roamers independent of the HPLMN).</w:t>
      </w:r>
    </w:p>
    <w:p w14:paraId="18960BD7" w14:textId="08C0AADB" w:rsidR="00553704" w:rsidRDefault="00553704" w:rsidP="00553704">
      <w:pPr>
        <w:pStyle w:val="Heading1"/>
        <w:jc w:val="both"/>
      </w:pPr>
      <w:r>
        <w:t>3.</w:t>
      </w:r>
      <w:r>
        <w:tab/>
        <w:t>Discussion</w:t>
      </w:r>
    </w:p>
    <w:p w14:paraId="48A4E7DB" w14:textId="4CDDB409" w:rsidR="001F66E7" w:rsidRDefault="00BD3E38" w:rsidP="00CA1D61">
      <w:r w:rsidRPr="004F6848">
        <w:t xml:space="preserve">As </w:t>
      </w:r>
      <w:r w:rsidR="00306636" w:rsidRPr="004F6848">
        <w:t xml:space="preserve">subscribed RFSP index is stored in HSS, it </w:t>
      </w:r>
      <w:r w:rsidR="00C45BA8" w:rsidRPr="004F6848">
        <w:t xml:space="preserve">does neither </w:t>
      </w:r>
      <w:proofErr w:type="gramStart"/>
      <w:r w:rsidR="00C45BA8" w:rsidRPr="004F6848">
        <w:t>take into account</w:t>
      </w:r>
      <w:proofErr w:type="gramEnd"/>
      <w:r w:rsidR="00C45BA8" w:rsidRPr="004F6848">
        <w:t xml:space="preserve"> </w:t>
      </w:r>
      <w:r w:rsidR="00306636" w:rsidRPr="004F6848">
        <w:t xml:space="preserve">the dynamic information </w:t>
      </w:r>
      <w:r w:rsidR="00C45BA8" w:rsidRPr="004F6848">
        <w:t>that UE was moved to target RAT due to EPS/RAT Fallback nor the last used 5GS PLMN</w:t>
      </w:r>
      <w:r w:rsidR="004E05B9" w:rsidRPr="004F6848">
        <w:t xml:space="preserve"> </w:t>
      </w:r>
      <w:r w:rsidR="00C45BA8" w:rsidRPr="004F6848">
        <w:t xml:space="preserve">ID. </w:t>
      </w:r>
      <w:r w:rsidR="00CF0A2A" w:rsidRPr="004F6848">
        <w:t>The SPID is per subscriber and doesn’t change over time unless changed by configuration</w:t>
      </w:r>
      <w:r w:rsidR="00913D23" w:rsidRPr="004F6848">
        <w:t>.</w:t>
      </w:r>
      <w:r w:rsidR="00090B80" w:rsidRPr="004F6848">
        <w:t xml:space="preserve"> The existing procedures allow to update the</w:t>
      </w:r>
      <w:r w:rsidR="007A4DF3" w:rsidRPr="004F6848">
        <w:t xml:space="preserve"> RFSP index</w:t>
      </w:r>
      <w:r w:rsidR="00085A84" w:rsidRPr="004F6848">
        <w:t>.</w:t>
      </w:r>
      <w:r w:rsidR="00CF0A2A" w:rsidRPr="004F6848">
        <w:t xml:space="preserve"> </w:t>
      </w:r>
      <w:r w:rsidR="00842121" w:rsidRPr="004F6848">
        <w:t xml:space="preserve">This update </w:t>
      </w:r>
      <w:r w:rsidR="00DE236F" w:rsidRPr="004F6848">
        <w:t>of the RFSP inde</w:t>
      </w:r>
      <w:r w:rsidR="00F40886" w:rsidRPr="004F6848">
        <w:t>x</w:t>
      </w:r>
      <w:r w:rsidR="00DE236F" w:rsidRPr="004F6848">
        <w:t xml:space="preserve"> </w:t>
      </w:r>
      <w:r w:rsidR="00842121" w:rsidRPr="004F6848">
        <w:t xml:space="preserve">would </w:t>
      </w:r>
      <w:r w:rsidR="00DE236F" w:rsidRPr="004F6848">
        <w:t xml:space="preserve">have to be </w:t>
      </w:r>
      <w:r w:rsidR="00BF1EE9" w:rsidRPr="004F6848">
        <w:t>done</w:t>
      </w:r>
      <w:r w:rsidR="00DE236F" w:rsidRPr="004F6848">
        <w:t xml:space="preserve"> for every UE and fallback case</w:t>
      </w:r>
      <w:r w:rsidR="000B1BA6" w:rsidRPr="004F6848">
        <w:t xml:space="preserve"> and the MME would have to maintain </w:t>
      </w:r>
      <w:r w:rsidR="00390B22" w:rsidRPr="004F6848">
        <w:t xml:space="preserve">RFSP indices </w:t>
      </w:r>
      <w:r w:rsidR="000D095D" w:rsidRPr="004F6848">
        <w:t xml:space="preserve">both for </w:t>
      </w:r>
      <w:r w:rsidR="00C03C39" w:rsidRPr="004F6848">
        <w:t>non-EPS Fallback</w:t>
      </w:r>
      <w:r w:rsidR="000D095D" w:rsidRPr="004F6848">
        <w:t xml:space="preserve"> case and for the EPS Fallback case</w:t>
      </w:r>
      <w:r w:rsidR="000921F0" w:rsidRPr="004F6848">
        <w:t xml:space="preserve"> </w:t>
      </w:r>
      <w:proofErr w:type="gramStart"/>
      <w:r w:rsidR="000921F0" w:rsidRPr="004F6848">
        <w:t>in order to</w:t>
      </w:r>
      <w:proofErr w:type="gramEnd"/>
      <w:r w:rsidR="000921F0" w:rsidRPr="004F6848">
        <w:t xml:space="preserve"> select the right </w:t>
      </w:r>
      <w:r w:rsidR="00390B22" w:rsidRPr="004F6848">
        <w:t>RFSP index</w:t>
      </w:r>
      <w:r w:rsidR="000921F0" w:rsidRPr="004F6848">
        <w:t xml:space="preserve"> for each UE and traffic case</w:t>
      </w:r>
      <w:r w:rsidR="00BF1EE9" w:rsidRPr="004F6848">
        <w:t xml:space="preserve">. Moreover, all </w:t>
      </w:r>
      <w:proofErr w:type="spellStart"/>
      <w:r w:rsidR="00BF1EE9" w:rsidRPr="004F6848">
        <w:t>eNBs</w:t>
      </w:r>
      <w:proofErr w:type="spellEnd"/>
      <w:r w:rsidR="00BF1EE9" w:rsidRPr="004F6848">
        <w:t xml:space="preserve"> </w:t>
      </w:r>
      <w:r w:rsidR="008A0670" w:rsidRPr="004F6848">
        <w:t xml:space="preserve">in E-UTRAN </w:t>
      </w:r>
      <w:r w:rsidR="008A3D6D" w:rsidRPr="004F6848">
        <w:t xml:space="preserve">would </w:t>
      </w:r>
      <w:r w:rsidR="008A0670" w:rsidRPr="004F6848">
        <w:t>have to be configured with RRM configuration</w:t>
      </w:r>
      <w:r w:rsidR="00990AC6" w:rsidRPr="004F6848">
        <w:t xml:space="preserve"> for both EPS Fallback and non-EPS Fallback cases</w:t>
      </w:r>
      <w:r w:rsidR="0097799E" w:rsidRPr="004F6848">
        <w:t xml:space="preserve"> and need to be </w:t>
      </w:r>
      <w:r w:rsidR="00EC7B8F" w:rsidRPr="004F6848">
        <w:t>updated to not initiate return to NG-NAN until the call is released (i.e., the QCI=1 bearer</w:t>
      </w:r>
      <w:r w:rsidR="00EC7B8F">
        <w:t xml:space="preserve"> is released)</w:t>
      </w:r>
      <w:r w:rsidR="00DE236F" w:rsidRPr="00CD61FF">
        <w:t>.</w:t>
      </w:r>
      <w:r w:rsidR="00F40886" w:rsidRPr="00CD61FF">
        <w:t xml:space="preserve"> </w:t>
      </w:r>
      <w:r w:rsidR="00E9271C" w:rsidRPr="00E815C7">
        <w:t>Alternatively, and i</w:t>
      </w:r>
      <w:r w:rsidR="00F40886" w:rsidRPr="00CD61FF">
        <w:t xml:space="preserve">nstead of updating </w:t>
      </w:r>
      <w:r w:rsidR="008A3D6D" w:rsidRPr="00CD61FF">
        <w:t>RFSP index</w:t>
      </w:r>
      <w:r w:rsidR="008A3D6D" w:rsidRPr="00CD61FF" w:rsidDel="008A3D6D">
        <w:t xml:space="preserve"> </w:t>
      </w:r>
      <w:r w:rsidR="00F40886" w:rsidRPr="00CD61FF">
        <w:t>for every fallback case, the RFSP inde</w:t>
      </w:r>
      <w:r w:rsidR="00C03C39" w:rsidRPr="00CD61FF">
        <w:t>x</w:t>
      </w:r>
      <w:r w:rsidR="00F40886" w:rsidRPr="00CD61FF">
        <w:t xml:space="preserve"> could also </w:t>
      </w:r>
      <w:r w:rsidR="00CC7A05" w:rsidRPr="00CD61FF">
        <w:t>be used to prioritize NG-RAN in general for all UEs that support 5GS. See further below.</w:t>
      </w:r>
    </w:p>
    <w:p w14:paraId="64FF62DE" w14:textId="33083ECC" w:rsidR="001F66E7" w:rsidRDefault="000B1BA6" w:rsidP="00CA1D61">
      <w:r>
        <w:t>T</w:t>
      </w:r>
      <w:r w:rsidR="0095603B" w:rsidRPr="00160271">
        <w:t xml:space="preserve">he MME does not know that the UE was moved to </w:t>
      </w:r>
      <w:r w:rsidR="0080288A" w:rsidRPr="00160271">
        <w:t>E-UTRAN due to EPS Fallback</w:t>
      </w:r>
      <w:r w:rsidR="00D568B2" w:rsidRPr="00160271">
        <w:t xml:space="preserve">, hence cannot update the RFSP </w:t>
      </w:r>
      <w:r w:rsidR="00A82146" w:rsidRPr="00160271">
        <w:t>index in case of EPS Fallback.</w:t>
      </w:r>
      <w:r w:rsidR="001F66E7">
        <w:t xml:space="preserve"> </w:t>
      </w:r>
      <w:r w:rsidR="001F66E7" w:rsidRPr="00FC3EC8">
        <w:t xml:space="preserve">Of course, specification can be changed to provide the needed information from the </w:t>
      </w:r>
      <w:r w:rsidR="0047460A" w:rsidRPr="00FC3EC8">
        <w:lastRenderedPageBreak/>
        <w:t>AMF to the MME, but that requires additional changes for both AMF and MME</w:t>
      </w:r>
      <w:r w:rsidR="00645C50" w:rsidRPr="00CD61FF">
        <w:t xml:space="preserve">, whereas the actual decision for </w:t>
      </w:r>
      <w:proofErr w:type="gramStart"/>
      <w:r w:rsidR="00645C50" w:rsidRPr="00CD61FF">
        <w:t>returning back</w:t>
      </w:r>
      <w:proofErr w:type="gramEnd"/>
      <w:r w:rsidR="00645C50" w:rsidRPr="00CD61FF">
        <w:t xml:space="preserve"> to NG-RAN is done in the target RAN</w:t>
      </w:r>
      <w:r w:rsidR="00332149" w:rsidRPr="00CD61FF">
        <w:t>, and the source NG-RAN is anyway impacted by EPS Fallback</w:t>
      </w:r>
      <w:r w:rsidR="0047460A" w:rsidRPr="008A0670">
        <w:t>.</w:t>
      </w:r>
      <w:r w:rsidR="00A46753" w:rsidRPr="00160271">
        <w:t xml:space="preserve"> </w:t>
      </w:r>
    </w:p>
    <w:p w14:paraId="4E00ADBB" w14:textId="77777777" w:rsidR="001F66E7" w:rsidRDefault="001F66E7" w:rsidP="00CA1D61"/>
    <w:p w14:paraId="58D09EC7" w14:textId="7A6D754E" w:rsidR="0077680C" w:rsidRDefault="00A46753" w:rsidP="007C76A2">
      <w:r w:rsidRPr="00160271">
        <w:t xml:space="preserve">RFSP can be used to prioritize </w:t>
      </w:r>
      <w:r w:rsidR="00CD288F" w:rsidRPr="00160271">
        <w:t>NG-RAN in general</w:t>
      </w:r>
      <w:r w:rsidR="00085A84" w:rsidRPr="00FC3EC8">
        <w:t xml:space="preserve">, i.e., there can be </w:t>
      </w:r>
      <w:r w:rsidR="0007155D" w:rsidRPr="00FC3EC8">
        <w:t xml:space="preserve">a SPID for the </w:t>
      </w:r>
      <w:r w:rsidR="0007155D" w:rsidRPr="00CD61FF">
        <w:t xml:space="preserve">UE that </w:t>
      </w:r>
      <w:r w:rsidR="00FC3EC8" w:rsidRPr="00CD61FF">
        <w:t xml:space="preserve">results in that </w:t>
      </w:r>
      <w:r w:rsidR="009C6EA3" w:rsidRPr="00CD61FF">
        <w:t>always the frequency used by NG-RAN is preferred</w:t>
      </w:r>
      <w:r w:rsidR="00CD288F" w:rsidRPr="00CD61FF">
        <w:t>.</w:t>
      </w:r>
      <w:r w:rsidR="001D46C6" w:rsidRPr="00CD61FF">
        <w:t xml:space="preserve"> In addition, RFSP index does not carry information about 5GS PLMNID</w:t>
      </w:r>
      <w:r w:rsidR="00CD5CA1" w:rsidRPr="00CD61FF">
        <w:t>. A</w:t>
      </w:r>
      <w:r w:rsidR="005E7B58" w:rsidRPr="00CD61FF">
        <w:t>l</w:t>
      </w:r>
      <w:r w:rsidR="00400227">
        <w:t>though</w:t>
      </w:r>
      <w:r w:rsidR="005E7B58" w:rsidRPr="00CD61FF">
        <w:t xml:space="preserve"> </w:t>
      </w:r>
      <w:r w:rsidR="00546D8E" w:rsidRPr="00CD61FF">
        <w:t xml:space="preserve">the RFSP index specification </w:t>
      </w:r>
      <w:r w:rsidR="005E7B58" w:rsidRPr="00CD61FF">
        <w:t xml:space="preserve">could be </w:t>
      </w:r>
      <w:r w:rsidR="00280FFC" w:rsidRPr="00CD61FF">
        <w:t>amended to include 5GS PLMNID</w:t>
      </w:r>
      <w:r w:rsidR="005E7B58" w:rsidRPr="00CD61FF">
        <w:t xml:space="preserve">, but that 5GS PLMNID </w:t>
      </w:r>
      <w:r w:rsidR="001E1EF8" w:rsidRPr="00CD61FF">
        <w:t xml:space="preserve">in the RFSP index </w:t>
      </w:r>
      <w:r w:rsidR="005E7B58" w:rsidRPr="00CD61FF">
        <w:t>may be different in HP</w:t>
      </w:r>
      <w:r w:rsidR="00AC02B0" w:rsidRPr="00CD61FF">
        <w:t>L</w:t>
      </w:r>
      <w:r w:rsidR="005E7B58" w:rsidRPr="00CD61FF">
        <w:t>MN and VP</w:t>
      </w:r>
      <w:r w:rsidR="00AC02B0" w:rsidRPr="00CD61FF">
        <w:t>L</w:t>
      </w:r>
      <w:r w:rsidR="005E7B58" w:rsidRPr="00CD61FF">
        <w:t xml:space="preserve">MN, </w:t>
      </w:r>
      <w:r w:rsidR="00BD3CA6" w:rsidRPr="00CD61FF">
        <w:t>there may even be different 5GS PLMN IDs be used</w:t>
      </w:r>
      <w:r w:rsidR="005325E6" w:rsidRPr="00CD61FF">
        <w:t xml:space="preserve"> in the current deployment</w:t>
      </w:r>
      <w:r w:rsidR="00BD3CA6" w:rsidRPr="00CD61FF">
        <w:t xml:space="preserve">, </w:t>
      </w:r>
      <w:r w:rsidR="005E7B58" w:rsidRPr="00CD61FF">
        <w:t xml:space="preserve">and </w:t>
      </w:r>
      <w:r w:rsidR="00BD3CA6" w:rsidRPr="00CD61FF">
        <w:t>such a change would have additional impacts</w:t>
      </w:r>
      <w:r w:rsidR="005325E6" w:rsidRPr="00CD61FF">
        <w:t xml:space="preserve"> on UDM</w:t>
      </w:r>
      <w:r w:rsidR="007018A4" w:rsidRPr="00CD61FF">
        <w:t xml:space="preserve"> and target RAN</w:t>
      </w:r>
      <w:r w:rsidR="005325E6" w:rsidRPr="00CD61FF">
        <w:t>.</w:t>
      </w:r>
      <w:r w:rsidR="00BD3CA6" w:rsidRPr="00CD61FF">
        <w:t xml:space="preserve"> </w:t>
      </w:r>
      <w:r w:rsidR="00393D1E">
        <w:t xml:space="preserve">The gNB may not always decide </w:t>
      </w:r>
      <w:r w:rsidR="006548AA">
        <w:t>to initiate</w:t>
      </w:r>
      <w:r w:rsidR="00393D1E">
        <w:t xml:space="preserve"> EPS Fallback for a </w:t>
      </w:r>
      <w:proofErr w:type="gramStart"/>
      <w:r w:rsidR="00393D1E">
        <w:t>particular UE</w:t>
      </w:r>
      <w:proofErr w:type="gramEnd"/>
      <w:r w:rsidR="009B2117">
        <w:t>. Instead, the gNB may also decide to establish the Qo</w:t>
      </w:r>
      <w:r w:rsidR="004E05B9">
        <w:t>S</w:t>
      </w:r>
      <w:r w:rsidR="009B2117">
        <w:t xml:space="preserve"> flow for </w:t>
      </w:r>
      <w:r w:rsidR="006C4EC5">
        <w:t>audio media.</w:t>
      </w:r>
      <w:r w:rsidR="0077680C">
        <w:t xml:space="preserve"> Hence the target eNB would not be able to know by configuration that EPS Fallback is the only possible reason why the UE has been moved from gNB to eNB and not coverage-based handover.</w:t>
      </w:r>
    </w:p>
    <w:p w14:paraId="6BD5B0FD" w14:textId="57EBFBE8" w:rsidR="005E3452" w:rsidRDefault="004F6848" w:rsidP="00CA1D61">
      <w:r>
        <w:rPr>
          <w:lang w:val="en-US" w:eastAsia="en-US"/>
        </w:rPr>
        <w:t xml:space="preserve">RFSP is used for many use cases already. RFSP requires configuration in every eNB (or gNB) and at the same time requires co-ordination with core network providing the correct RFSP in </w:t>
      </w:r>
      <w:proofErr w:type="gramStart"/>
      <w:r>
        <w:rPr>
          <w:lang w:val="en-US" w:eastAsia="en-US"/>
        </w:rPr>
        <w:t>each and every</w:t>
      </w:r>
      <w:proofErr w:type="gramEnd"/>
      <w:r>
        <w:rPr>
          <w:lang w:val="en-US" w:eastAsia="en-US"/>
        </w:rPr>
        <w:t xml:space="preserve"> use case. Hence using RFSP for an additional use case may break legacy functionality in existing deployments.</w:t>
      </w:r>
      <w:r w:rsidR="0077680C" w:rsidDel="0077680C">
        <w:rPr>
          <w:rStyle w:val="CommentReference"/>
          <w:color w:val="auto"/>
          <w:lang w:eastAsia="en-US"/>
        </w:rPr>
        <w:t xml:space="preserve"> </w:t>
      </w:r>
    </w:p>
    <w:p w14:paraId="3BA0DA21" w14:textId="7ED619E3" w:rsidR="00A147C5" w:rsidRDefault="00A147C5" w:rsidP="00CA1D61">
      <w:r>
        <w:t>The following table aims to summarize the discussion and to provide a comparison:</w:t>
      </w:r>
    </w:p>
    <w:tbl>
      <w:tblPr>
        <w:tblStyle w:val="TableGrid"/>
        <w:tblW w:w="0" w:type="auto"/>
        <w:tblLook w:val="04A0" w:firstRow="1" w:lastRow="0" w:firstColumn="1" w:lastColumn="0" w:noHBand="0" w:noVBand="1"/>
      </w:tblPr>
      <w:tblGrid>
        <w:gridCol w:w="3209"/>
        <w:gridCol w:w="3209"/>
        <w:gridCol w:w="3210"/>
      </w:tblGrid>
      <w:tr w:rsidR="00A147C5" w14:paraId="78291728" w14:textId="77777777" w:rsidTr="00A147C5">
        <w:tc>
          <w:tcPr>
            <w:tcW w:w="3209" w:type="dxa"/>
          </w:tcPr>
          <w:p w14:paraId="504B02F8" w14:textId="77777777" w:rsidR="00A147C5" w:rsidRDefault="00A147C5" w:rsidP="0077680C"/>
        </w:tc>
        <w:tc>
          <w:tcPr>
            <w:tcW w:w="3209" w:type="dxa"/>
          </w:tcPr>
          <w:p w14:paraId="68BDCF50" w14:textId="14BA8E2B" w:rsidR="00A147C5" w:rsidRPr="00475AA1" w:rsidRDefault="00A147C5" w:rsidP="008A651E">
            <w:pPr>
              <w:jc w:val="center"/>
              <w:rPr>
                <w:b/>
              </w:rPr>
            </w:pPr>
            <w:r w:rsidRPr="00475AA1">
              <w:rPr>
                <w:b/>
              </w:rPr>
              <w:t>Using RFSP</w:t>
            </w:r>
            <w:r w:rsidR="00D03AF5">
              <w:rPr>
                <w:b/>
              </w:rPr>
              <w:t xml:space="preserve"> index</w:t>
            </w:r>
          </w:p>
        </w:tc>
        <w:tc>
          <w:tcPr>
            <w:tcW w:w="3210" w:type="dxa"/>
          </w:tcPr>
          <w:p w14:paraId="54C72D7E" w14:textId="68CAAA11" w:rsidR="00A147C5" w:rsidRPr="00475AA1" w:rsidRDefault="00A147C5" w:rsidP="008A651E">
            <w:pPr>
              <w:jc w:val="center"/>
              <w:rPr>
                <w:b/>
              </w:rPr>
            </w:pPr>
            <w:r w:rsidRPr="00475AA1">
              <w:rPr>
                <w:b/>
              </w:rPr>
              <w:t xml:space="preserve">Using </w:t>
            </w:r>
            <w:r w:rsidR="007518BC" w:rsidRPr="00475AA1">
              <w:rPr>
                <w:b/>
              </w:rPr>
              <w:t>indications in source to target transparent container</w:t>
            </w:r>
          </w:p>
        </w:tc>
      </w:tr>
      <w:tr w:rsidR="00A147C5" w14:paraId="3CA5E86C" w14:textId="77777777" w:rsidTr="00A147C5">
        <w:tc>
          <w:tcPr>
            <w:tcW w:w="3209" w:type="dxa"/>
          </w:tcPr>
          <w:p w14:paraId="5B6A584F" w14:textId="4776C322" w:rsidR="00A147C5" w:rsidRPr="00475AA1" w:rsidRDefault="00D03AF5" w:rsidP="0077680C">
            <w:pPr>
              <w:rPr>
                <w:b/>
              </w:rPr>
            </w:pPr>
            <w:r w:rsidRPr="00475AA1">
              <w:rPr>
                <w:b/>
              </w:rPr>
              <w:t>Static/dynamic decision</w:t>
            </w:r>
          </w:p>
        </w:tc>
        <w:tc>
          <w:tcPr>
            <w:tcW w:w="3209" w:type="dxa"/>
          </w:tcPr>
          <w:p w14:paraId="19CAB56E" w14:textId="03F2F434" w:rsidR="00A147C5" w:rsidRDefault="00D03AF5" w:rsidP="00CA1D61">
            <w:r>
              <w:t>Static, unless updating RFSP index in fallback case</w:t>
            </w:r>
            <w:r w:rsidR="00617E57">
              <w:t xml:space="preserve"> and with impacts on MME and AMF and additional configuration of all </w:t>
            </w:r>
            <w:proofErr w:type="spellStart"/>
            <w:r w:rsidR="00617E57">
              <w:t>eNBs</w:t>
            </w:r>
            <w:proofErr w:type="spellEnd"/>
          </w:p>
        </w:tc>
        <w:tc>
          <w:tcPr>
            <w:tcW w:w="3210" w:type="dxa"/>
          </w:tcPr>
          <w:p w14:paraId="109EF190" w14:textId="18E81E4D" w:rsidR="00A147C5" w:rsidRDefault="006C4EC5" w:rsidP="00CA1D61">
            <w:r>
              <w:t>Dynamic</w:t>
            </w:r>
            <w:r w:rsidR="00475AA1">
              <w:t xml:space="preserve"> decision in the eNB</w:t>
            </w:r>
            <w:r w:rsidR="004D7EA0">
              <w:t xml:space="preserve"> whether and when to move the UE to NG-RAN</w:t>
            </w:r>
          </w:p>
        </w:tc>
      </w:tr>
      <w:tr w:rsidR="00D03AF5" w14:paraId="1330B871" w14:textId="77777777" w:rsidTr="00A147C5">
        <w:tc>
          <w:tcPr>
            <w:tcW w:w="3209" w:type="dxa"/>
          </w:tcPr>
          <w:p w14:paraId="43D2392C" w14:textId="2FEF70BA" w:rsidR="00D03AF5" w:rsidRPr="00475AA1" w:rsidRDefault="00D03AF5" w:rsidP="00D03AF5">
            <w:pPr>
              <w:rPr>
                <w:b/>
              </w:rPr>
            </w:pPr>
            <w:r w:rsidRPr="00475AA1">
              <w:rPr>
                <w:b/>
              </w:rPr>
              <w:t>gNB impact</w:t>
            </w:r>
          </w:p>
        </w:tc>
        <w:tc>
          <w:tcPr>
            <w:tcW w:w="3209" w:type="dxa"/>
          </w:tcPr>
          <w:p w14:paraId="72E820D4" w14:textId="0FC44B24" w:rsidR="00D03AF5" w:rsidRDefault="00D03AF5" w:rsidP="00D03AF5">
            <w:r>
              <w:t>No</w:t>
            </w:r>
          </w:p>
        </w:tc>
        <w:tc>
          <w:tcPr>
            <w:tcW w:w="3210" w:type="dxa"/>
          </w:tcPr>
          <w:p w14:paraId="4E4048AB" w14:textId="0162BBDF" w:rsidR="00D03AF5" w:rsidRDefault="00F873D5" w:rsidP="00D03AF5">
            <w:r>
              <w:t>Y</w:t>
            </w:r>
            <w:r w:rsidR="00D03AF5">
              <w:t>es</w:t>
            </w:r>
            <w:r w:rsidR="00FC6C3D">
              <w:t xml:space="preserve"> (to add the information into source to target transparent container)</w:t>
            </w:r>
          </w:p>
        </w:tc>
      </w:tr>
      <w:tr w:rsidR="00A147C5" w14:paraId="6A6EE53B" w14:textId="77777777" w:rsidTr="00A147C5">
        <w:tc>
          <w:tcPr>
            <w:tcW w:w="3209" w:type="dxa"/>
          </w:tcPr>
          <w:p w14:paraId="4F20853E" w14:textId="7CF34886" w:rsidR="00A147C5" w:rsidRPr="00475AA1" w:rsidRDefault="00F873D5" w:rsidP="00CA1D61">
            <w:pPr>
              <w:rPr>
                <w:b/>
              </w:rPr>
            </w:pPr>
            <w:r w:rsidRPr="00475AA1">
              <w:rPr>
                <w:b/>
              </w:rPr>
              <w:t>eNB impact</w:t>
            </w:r>
          </w:p>
        </w:tc>
        <w:tc>
          <w:tcPr>
            <w:tcW w:w="3209" w:type="dxa"/>
          </w:tcPr>
          <w:p w14:paraId="2DA46C39" w14:textId="0573D8CD" w:rsidR="00A147C5" w:rsidRDefault="00F873D5" w:rsidP="00CA1D61">
            <w:r>
              <w:t>Yes (to differentiate fallback from non-fallback case</w:t>
            </w:r>
            <w:r w:rsidR="00D269B1">
              <w:t>)</w:t>
            </w:r>
          </w:p>
        </w:tc>
        <w:tc>
          <w:tcPr>
            <w:tcW w:w="3210" w:type="dxa"/>
          </w:tcPr>
          <w:p w14:paraId="17D8923D" w14:textId="0B2A5671" w:rsidR="00A147C5" w:rsidRDefault="009D5D26" w:rsidP="00CA1D61">
            <w:r>
              <w:t>Yes</w:t>
            </w:r>
            <w:r w:rsidR="00FC6C3D">
              <w:t xml:space="preserve"> (to use the information in the source to target transparent container)</w:t>
            </w:r>
            <w:r w:rsidR="00C50D87">
              <w:t xml:space="preserve">. </w:t>
            </w:r>
            <w:r w:rsidR="00EC4BED">
              <w:t>eNB c</w:t>
            </w:r>
            <w:r w:rsidR="00C50D87">
              <w:t xml:space="preserve">an differentiate between </w:t>
            </w:r>
            <w:r w:rsidR="004813E6">
              <w:t>coverage</w:t>
            </w:r>
            <w:r w:rsidR="00666983">
              <w:t>-</w:t>
            </w:r>
            <w:r w:rsidR="004813E6">
              <w:t xml:space="preserve">based </w:t>
            </w:r>
            <w:r w:rsidR="00C633D8">
              <w:t xml:space="preserve">handover </w:t>
            </w:r>
            <w:r w:rsidR="004813E6">
              <w:t xml:space="preserve">and EPS Fallback </w:t>
            </w:r>
          </w:p>
        </w:tc>
      </w:tr>
      <w:tr w:rsidR="00A147C5" w14:paraId="2DAB7B7C" w14:textId="77777777" w:rsidTr="00A147C5">
        <w:tc>
          <w:tcPr>
            <w:tcW w:w="3209" w:type="dxa"/>
          </w:tcPr>
          <w:p w14:paraId="3B5CF5AE" w14:textId="308DE0F6" w:rsidR="00A147C5" w:rsidRPr="00475AA1" w:rsidRDefault="006C0823" w:rsidP="00CA1D61">
            <w:pPr>
              <w:rPr>
                <w:b/>
              </w:rPr>
            </w:pPr>
            <w:r w:rsidRPr="00475AA1">
              <w:rPr>
                <w:b/>
              </w:rPr>
              <w:t>eNB configurat</w:t>
            </w:r>
            <w:r w:rsidR="00D269B1" w:rsidRPr="00475AA1">
              <w:rPr>
                <w:b/>
              </w:rPr>
              <w:t>ion</w:t>
            </w:r>
          </w:p>
        </w:tc>
        <w:tc>
          <w:tcPr>
            <w:tcW w:w="3209" w:type="dxa"/>
          </w:tcPr>
          <w:p w14:paraId="7849E79A" w14:textId="2C73A040" w:rsidR="00A147C5" w:rsidRDefault="00D269B1" w:rsidP="00CA1D61">
            <w:r>
              <w:t>Yes, if needed to have different RRM configuration for fallback and non-fallback cases</w:t>
            </w:r>
          </w:p>
        </w:tc>
        <w:tc>
          <w:tcPr>
            <w:tcW w:w="3210" w:type="dxa"/>
          </w:tcPr>
          <w:p w14:paraId="46470584" w14:textId="2EC43C19" w:rsidR="00A147C5" w:rsidRDefault="00D269B1" w:rsidP="00CA1D61">
            <w:r>
              <w:t>No</w:t>
            </w:r>
          </w:p>
        </w:tc>
      </w:tr>
      <w:tr w:rsidR="006C0823" w14:paraId="2C3E4A3C" w14:textId="77777777" w:rsidTr="00A147C5">
        <w:tc>
          <w:tcPr>
            <w:tcW w:w="3209" w:type="dxa"/>
          </w:tcPr>
          <w:p w14:paraId="26AD186B" w14:textId="1A296FC3" w:rsidR="006C0823" w:rsidRPr="00475AA1" w:rsidRDefault="006C0823" w:rsidP="006C0823">
            <w:pPr>
              <w:rPr>
                <w:b/>
              </w:rPr>
            </w:pPr>
            <w:r w:rsidRPr="00475AA1">
              <w:rPr>
                <w:b/>
              </w:rPr>
              <w:t>MME impact</w:t>
            </w:r>
          </w:p>
        </w:tc>
        <w:tc>
          <w:tcPr>
            <w:tcW w:w="3209" w:type="dxa"/>
          </w:tcPr>
          <w:p w14:paraId="598E8894" w14:textId="42B1484F" w:rsidR="006C0823" w:rsidRDefault="006C0823" w:rsidP="006C0823">
            <w:r>
              <w:t>If updating RFSP index is required, based on indication from AMF</w:t>
            </w:r>
          </w:p>
        </w:tc>
        <w:tc>
          <w:tcPr>
            <w:tcW w:w="3210" w:type="dxa"/>
          </w:tcPr>
          <w:p w14:paraId="4C1A6916" w14:textId="262FC895" w:rsidR="006C0823" w:rsidRDefault="006C0823" w:rsidP="006C0823">
            <w:r>
              <w:t>No</w:t>
            </w:r>
          </w:p>
        </w:tc>
      </w:tr>
      <w:tr w:rsidR="006C0823" w14:paraId="57673E83" w14:textId="77777777" w:rsidTr="00A147C5">
        <w:tc>
          <w:tcPr>
            <w:tcW w:w="3209" w:type="dxa"/>
          </w:tcPr>
          <w:p w14:paraId="6CB2A015" w14:textId="122EB35B" w:rsidR="006C0823" w:rsidRPr="00475AA1" w:rsidRDefault="006C0823" w:rsidP="006C0823">
            <w:pPr>
              <w:rPr>
                <w:b/>
              </w:rPr>
            </w:pPr>
            <w:r w:rsidRPr="00475AA1">
              <w:rPr>
                <w:b/>
              </w:rPr>
              <w:t>AMF impact</w:t>
            </w:r>
          </w:p>
        </w:tc>
        <w:tc>
          <w:tcPr>
            <w:tcW w:w="3209" w:type="dxa"/>
          </w:tcPr>
          <w:p w14:paraId="1BB43FFD" w14:textId="24A35884" w:rsidR="006C0823" w:rsidRDefault="006C0823" w:rsidP="006C0823">
            <w:r>
              <w:t>If needed to provide indication to MME</w:t>
            </w:r>
          </w:p>
        </w:tc>
        <w:tc>
          <w:tcPr>
            <w:tcW w:w="3210" w:type="dxa"/>
          </w:tcPr>
          <w:p w14:paraId="6D079836" w14:textId="29878B1C" w:rsidR="006C0823" w:rsidRDefault="006C0823" w:rsidP="006C0823">
            <w:r>
              <w:t>No</w:t>
            </w:r>
          </w:p>
        </w:tc>
      </w:tr>
      <w:tr w:rsidR="006C0823" w14:paraId="0420A74C" w14:textId="77777777" w:rsidTr="00A147C5">
        <w:tc>
          <w:tcPr>
            <w:tcW w:w="3209" w:type="dxa"/>
          </w:tcPr>
          <w:p w14:paraId="7EA37BB2" w14:textId="10D777DF" w:rsidR="006C0823" w:rsidRPr="00475AA1" w:rsidRDefault="008709B2" w:rsidP="006C0823">
            <w:pPr>
              <w:rPr>
                <w:b/>
              </w:rPr>
            </w:pPr>
            <w:r w:rsidRPr="00475AA1">
              <w:rPr>
                <w:b/>
              </w:rPr>
              <w:t>UDM/HSS</w:t>
            </w:r>
            <w:r w:rsidR="00B43921">
              <w:rPr>
                <w:b/>
              </w:rPr>
              <w:t xml:space="preserve"> configuration</w:t>
            </w:r>
          </w:p>
        </w:tc>
        <w:tc>
          <w:tcPr>
            <w:tcW w:w="3209" w:type="dxa"/>
          </w:tcPr>
          <w:p w14:paraId="60CD4EAD" w14:textId="779FD827" w:rsidR="006C0823" w:rsidRDefault="008709B2" w:rsidP="006C0823">
            <w:r>
              <w:t xml:space="preserve">Yes (for RFSP </w:t>
            </w:r>
            <w:r w:rsidR="003248FB">
              <w:t>index)</w:t>
            </w:r>
          </w:p>
        </w:tc>
        <w:tc>
          <w:tcPr>
            <w:tcW w:w="3210" w:type="dxa"/>
          </w:tcPr>
          <w:p w14:paraId="3F503C28" w14:textId="521933FC" w:rsidR="006C0823" w:rsidRDefault="003248FB" w:rsidP="006C0823">
            <w:r>
              <w:t>No</w:t>
            </w:r>
          </w:p>
        </w:tc>
      </w:tr>
      <w:tr w:rsidR="007358D5" w14:paraId="00673E59" w14:textId="77777777" w:rsidTr="00A147C5">
        <w:tc>
          <w:tcPr>
            <w:tcW w:w="3209" w:type="dxa"/>
          </w:tcPr>
          <w:p w14:paraId="19E355A6" w14:textId="53B76D5D" w:rsidR="007358D5" w:rsidRPr="00475AA1" w:rsidRDefault="007358D5" w:rsidP="006C0823">
            <w:pPr>
              <w:rPr>
                <w:b/>
              </w:rPr>
            </w:pPr>
            <w:r w:rsidRPr="00475AA1">
              <w:rPr>
                <w:b/>
              </w:rPr>
              <w:t>UE impact</w:t>
            </w:r>
          </w:p>
        </w:tc>
        <w:tc>
          <w:tcPr>
            <w:tcW w:w="3209" w:type="dxa"/>
          </w:tcPr>
          <w:p w14:paraId="4159747B" w14:textId="5E2E1E61" w:rsidR="007358D5" w:rsidRDefault="007358D5" w:rsidP="006C0823">
            <w:r>
              <w:t>No</w:t>
            </w:r>
          </w:p>
        </w:tc>
        <w:tc>
          <w:tcPr>
            <w:tcW w:w="3210" w:type="dxa"/>
          </w:tcPr>
          <w:p w14:paraId="1FD66ED9" w14:textId="65E50C5E" w:rsidR="007358D5" w:rsidRDefault="007358D5" w:rsidP="006C0823">
            <w:r>
              <w:t>No</w:t>
            </w:r>
          </w:p>
        </w:tc>
      </w:tr>
      <w:tr w:rsidR="004F6848" w14:paraId="59B953FA" w14:textId="77777777" w:rsidTr="00A147C5">
        <w:tc>
          <w:tcPr>
            <w:tcW w:w="3209" w:type="dxa"/>
          </w:tcPr>
          <w:p w14:paraId="02FC94E6" w14:textId="42A9D926" w:rsidR="004F6848" w:rsidRPr="00475AA1" w:rsidRDefault="004F6848" w:rsidP="006C0823">
            <w:pPr>
              <w:rPr>
                <w:b/>
              </w:rPr>
            </w:pPr>
            <w:r>
              <w:rPr>
                <w:b/>
              </w:rPr>
              <w:t>Break legacy functionality</w:t>
            </w:r>
          </w:p>
        </w:tc>
        <w:tc>
          <w:tcPr>
            <w:tcW w:w="3209" w:type="dxa"/>
          </w:tcPr>
          <w:p w14:paraId="2EE8DE06" w14:textId="2C01E690" w:rsidR="004F6848" w:rsidRDefault="004F6848" w:rsidP="006C0823">
            <w:r>
              <w:t>Possibly</w:t>
            </w:r>
          </w:p>
        </w:tc>
        <w:tc>
          <w:tcPr>
            <w:tcW w:w="3210" w:type="dxa"/>
          </w:tcPr>
          <w:p w14:paraId="369A54F0" w14:textId="20739E82" w:rsidR="004F6848" w:rsidRDefault="004F6848" w:rsidP="006C0823">
            <w:r>
              <w:t>No</w:t>
            </w:r>
          </w:p>
        </w:tc>
      </w:tr>
    </w:tbl>
    <w:p w14:paraId="76AC255A" w14:textId="77777777" w:rsidR="00A147C5" w:rsidRDefault="00A147C5" w:rsidP="00CA1D61"/>
    <w:p w14:paraId="7D00DB12" w14:textId="77777777" w:rsidR="006A5A24" w:rsidRDefault="006A5A24" w:rsidP="005D466F"/>
    <w:p w14:paraId="5FB1A09C" w14:textId="77777777" w:rsidR="00090005" w:rsidRDefault="00090005" w:rsidP="00CA457F">
      <w:pPr>
        <w:pStyle w:val="Heading1"/>
      </w:pPr>
      <w:r>
        <w:t>Proposal</w:t>
      </w:r>
    </w:p>
    <w:p w14:paraId="225DCC30" w14:textId="78FBAEF6" w:rsidR="00C72FBC" w:rsidRDefault="00AF08A3" w:rsidP="00C72FBC">
      <w:pPr>
        <w:rPr>
          <w:color w:val="auto"/>
          <w:lang w:val="en-US" w:eastAsia="en-US"/>
        </w:rPr>
      </w:pPr>
      <w:r>
        <w:t xml:space="preserve">It is proposed </w:t>
      </w:r>
      <w:r w:rsidR="00CF2C1C">
        <w:t>to add specification for return to source NG-RAN</w:t>
      </w:r>
      <w:r w:rsidR="00CA136C">
        <w:t xml:space="preserve"> (NR)</w:t>
      </w:r>
      <w:r w:rsidR="00CF2C1C">
        <w:t xml:space="preserve"> after EPS Fallback</w:t>
      </w:r>
      <w:r w:rsidR="00135F17">
        <w:t xml:space="preserve">, providing the target RAT with the information about the fallback case and, if needed, the </w:t>
      </w:r>
      <w:r w:rsidR="00075FC1">
        <w:t>5GS</w:t>
      </w:r>
      <w:r w:rsidR="00135F17">
        <w:t xml:space="preserve"> PLMNID</w:t>
      </w:r>
      <w:r w:rsidR="00FE1CC4">
        <w:t xml:space="preserve">. It is proposed to provide both information elements </w:t>
      </w:r>
      <w:r w:rsidR="006F5C01">
        <w:t>from the source RAT</w:t>
      </w:r>
      <w:r w:rsidR="00FE1CC4">
        <w:t xml:space="preserve"> to the target RAT in the source to target transparent container</w:t>
      </w:r>
      <w:r w:rsidR="006F5C01">
        <w:t>, avoiding thereby impacts on AMF and MME</w:t>
      </w:r>
      <w:r w:rsidR="00CF2C1C">
        <w:t xml:space="preserve">. </w:t>
      </w:r>
      <w:bookmarkStart w:id="4" w:name="_Hlk534836834"/>
      <w:r w:rsidR="00CA136C">
        <w:t>If preferred, also specification for return to source NG-RAN (NR) after RAT Fallback can be added</w:t>
      </w:r>
      <w:r w:rsidR="008554A9">
        <w:t xml:space="preserve"> using similar mechanism as for return after EPS Fallback</w:t>
      </w:r>
      <w:r w:rsidR="00CA136C">
        <w:t xml:space="preserve">. </w:t>
      </w:r>
      <w:r w:rsidR="007A0C66">
        <w:t>R</w:t>
      </w:r>
      <w:proofErr w:type="spellStart"/>
      <w:r w:rsidR="00C72FBC">
        <w:rPr>
          <w:lang w:val="en-US" w:eastAsia="en-US"/>
        </w:rPr>
        <w:t>eturn</w:t>
      </w:r>
      <w:proofErr w:type="spellEnd"/>
      <w:r w:rsidR="00C72FBC">
        <w:rPr>
          <w:lang w:val="en-US" w:eastAsia="en-US"/>
        </w:rPr>
        <w:t xml:space="preserve"> to NG-RAN</w:t>
      </w:r>
      <w:r w:rsidR="00475D24">
        <w:rPr>
          <w:lang w:val="en-US" w:eastAsia="en-US"/>
        </w:rPr>
        <w:t xml:space="preserve"> after fallback</w:t>
      </w:r>
      <w:r w:rsidR="00C72FBC">
        <w:rPr>
          <w:lang w:val="en-US" w:eastAsia="en-US"/>
        </w:rPr>
        <w:t xml:space="preserve"> </w:t>
      </w:r>
      <w:r w:rsidR="00475D24">
        <w:rPr>
          <w:lang w:val="en-US" w:eastAsia="en-US"/>
        </w:rPr>
        <w:t xml:space="preserve">is a </w:t>
      </w:r>
      <w:r w:rsidR="00475D24">
        <w:rPr>
          <w:lang w:val="en-US" w:eastAsia="en-US"/>
        </w:rPr>
        <w:lastRenderedPageBreak/>
        <w:t>decision on LTE cell level</w:t>
      </w:r>
      <w:r w:rsidR="004749EE">
        <w:rPr>
          <w:lang w:val="en-US" w:eastAsia="en-US"/>
        </w:rPr>
        <w:t xml:space="preserve"> </w:t>
      </w:r>
      <w:proofErr w:type="gramStart"/>
      <w:r w:rsidR="004749EE">
        <w:rPr>
          <w:lang w:val="en-US" w:eastAsia="en-US"/>
        </w:rPr>
        <w:t>taking into account</w:t>
      </w:r>
      <w:proofErr w:type="gramEnd"/>
      <w:r w:rsidR="004749EE">
        <w:rPr>
          <w:lang w:val="en-US" w:eastAsia="en-US"/>
        </w:rPr>
        <w:t xml:space="preserve"> that it is </w:t>
      </w:r>
      <w:r w:rsidR="00C647D7">
        <w:rPr>
          <w:lang w:val="en-US" w:eastAsia="en-US"/>
        </w:rPr>
        <w:t xml:space="preserve">a </w:t>
      </w:r>
      <w:r w:rsidR="004749EE">
        <w:rPr>
          <w:lang w:val="en-US" w:eastAsia="en-US"/>
        </w:rPr>
        <w:t>fallback case</w:t>
      </w:r>
      <w:r w:rsidR="00075FC1">
        <w:rPr>
          <w:lang w:val="en-US" w:eastAsia="en-US"/>
        </w:rPr>
        <w:t xml:space="preserve"> </w:t>
      </w:r>
      <w:r w:rsidR="00C647D7">
        <w:rPr>
          <w:lang w:val="en-US" w:eastAsia="en-US"/>
        </w:rPr>
        <w:t xml:space="preserve">from NG-RAN, </w:t>
      </w:r>
      <w:r w:rsidR="00075FC1">
        <w:rPr>
          <w:lang w:val="en-US" w:eastAsia="en-US"/>
        </w:rPr>
        <w:t>and, if needed, the 5GS PLMNID</w:t>
      </w:r>
      <w:r w:rsidR="00475D24">
        <w:rPr>
          <w:lang w:val="en-US" w:eastAsia="en-US"/>
        </w:rPr>
        <w:t xml:space="preserve">, </w:t>
      </w:r>
      <w:r w:rsidR="00C72FBC">
        <w:rPr>
          <w:lang w:val="en-US" w:eastAsia="en-US"/>
        </w:rPr>
        <w:t xml:space="preserve">i.e. the target RAN </w:t>
      </w:r>
      <w:r w:rsidR="00C15175">
        <w:rPr>
          <w:lang w:val="en-US" w:eastAsia="en-US"/>
        </w:rPr>
        <w:t xml:space="preserve">decides whether and when to move </w:t>
      </w:r>
      <w:r w:rsidR="00C72FBC">
        <w:rPr>
          <w:lang w:val="en-US" w:eastAsia="en-US"/>
        </w:rPr>
        <w:t>the UE back</w:t>
      </w:r>
      <w:r w:rsidR="004749EE">
        <w:rPr>
          <w:lang w:val="en-US" w:eastAsia="en-US"/>
        </w:rPr>
        <w:t>. T</w:t>
      </w:r>
      <w:r w:rsidR="00D70899">
        <w:rPr>
          <w:lang w:val="en-US" w:eastAsia="en-US"/>
        </w:rPr>
        <w:t xml:space="preserve">he </w:t>
      </w:r>
      <w:r w:rsidR="004749EE">
        <w:rPr>
          <w:lang w:val="en-US" w:eastAsia="en-US"/>
        </w:rPr>
        <w:t xml:space="preserve">RRM configuration </w:t>
      </w:r>
      <w:r w:rsidR="00E647EC">
        <w:rPr>
          <w:lang w:val="en-US" w:eastAsia="en-US"/>
        </w:rPr>
        <w:t xml:space="preserve">in the eNB is </w:t>
      </w:r>
      <w:r w:rsidR="00075FC1">
        <w:rPr>
          <w:lang w:val="en-US" w:eastAsia="en-US"/>
        </w:rPr>
        <w:t>usually t</w:t>
      </w:r>
      <w:r w:rsidR="00E647EC">
        <w:rPr>
          <w:lang w:val="en-US" w:eastAsia="en-US"/>
        </w:rPr>
        <w:t>he same in all eNB</w:t>
      </w:r>
      <w:r w:rsidR="00075FC1">
        <w:rPr>
          <w:lang w:val="en-US" w:eastAsia="en-US"/>
        </w:rPr>
        <w:t xml:space="preserve">, </w:t>
      </w:r>
      <w:r w:rsidR="00E04EAC">
        <w:rPr>
          <w:lang w:val="en-US" w:eastAsia="en-US"/>
        </w:rPr>
        <w:t>applying the same RRM configuration for the UE served by any eNB</w:t>
      </w:r>
      <w:r w:rsidR="00C647D7">
        <w:rPr>
          <w:lang w:val="en-US" w:eastAsia="en-US"/>
        </w:rPr>
        <w:t xml:space="preserve">, irrespective of whether the </w:t>
      </w:r>
      <w:r w:rsidR="005552EA">
        <w:rPr>
          <w:lang w:val="en-US" w:eastAsia="en-US"/>
        </w:rPr>
        <w:t>UE has just performed initial attach or has moved to this eNB</w:t>
      </w:r>
      <w:r w:rsidR="00075FC1">
        <w:rPr>
          <w:lang w:val="en-US" w:eastAsia="en-US"/>
        </w:rPr>
        <w:t>.</w:t>
      </w:r>
      <w:r w:rsidR="00135F17">
        <w:rPr>
          <w:lang w:val="en-US" w:eastAsia="en-US"/>
        </w:rPr>
        <w:t xml:space="preserve"> </w:t>
      </w:r>
    </w:p>
    <w:bookmarkEnd w:id="4"/>
    <w:p w14:paraId="56562EFD" w14:textId="611D334B" w:rsidR="00834C69" w:rsidRDefault="00A46753" w:rsidP="005D466F">
      <w:r>
        <w:t>Both TS 23.501 and TS 23.502 CRs have been submitted</w:t>
      </w:r>
      <w:r w:rsidR="00866C48">
        <w:t xml:space="preserve"> to this meeting.</w:t>
      </w:r>
    </w:p>
    <w:p w14:paraId="43557EFF" w14:textId="77777777" w:rsidR="00CB7144" w:rsidRDefault="00CB7144" w:rsidP="00CA1D61"/>
    <w:p w14:paraId="41F5C35F" w14:textId="77777777" w:rsidR="00A06CB8" w:rsidRPr="007A3567" w:rsidRDefault="00A06CB8" w:rsidP="00CA1D61"/>
    <w:sectPr w:rsidR="00A06CB8" w:rsidRPr="007A3567" w:rsidSect="00B508D8">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26026" w14:textId="77777777" w:rsidR="00C11B13" w:rsidRDefault="00C11B13">
      <w:r>
        <w:separator/>
      </w:r>
    </w:p>
    <w:p w14:paraId="7F2F6126" w14:textId="77777777" w:rsidR="00C11B13" w:rsidRDefault="00C11B13"/>
  </w:endnote>
  <w:endnote w:type="continuationSeparator" w:id="0">
    <w:p w14:paraId="6F21F9E1" w14:textId="77777777" w:rsidR="00C11B13" w:rsidRDefault="00C11B13">
      <w:r>
        <w:continuationSeparator/>
      </w:r>
    </w:p>
    <w:p w14:paraId="057C212E" w14:textId="77777777" w:rsidR="00C11B13" w:rsidRDefault="00C11B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F7944"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580BDFFF"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A9D1F9D"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9B890" w14:textId="77777777" w:rsidR="00C11B13" w:rsidRDefault="00C11B13">
      <w:r>
        <w:separator/>
      </w:r>
    </w:p>
    <w:p w14:paraId="628A5057" w14:textId="77777777" w:rsidR="00C11B13" w:rsidRDefault="00C11B13"/>
  </w:footnote>
  <w:footnote w:type="continuationSeparator" w:id="0">
    <w:p w14:paraId="79B1AD9F" w14:textId="77777777" w:rsidR="00C11B13" w:rsidRDefault="00C11B13">
      <w:r>
        <w:continuationSeparator/>
      </w:r>
    </w:p>
    <w:p w14:paraId="305EAE04" w14:textId="77777777" w:rsidR="00C11B13" w:rsidRDefault="00C11B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F054D" w14:textId="77777777" w:rsidR="000A0786" w:rsidRDefault="000A0786"/>
  <w:p w14:paraId="1C9B19FD"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67F55"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12F9B12" w14:textId="77777777"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F08A3">
      <w:rPr>
        <w:rFonts w:ascii="Arial" w:hAnsi="Arial" w:cs="Arial"/>
        <w:b/>
        <w:bCs/>
        <w:noProof/>
        <w:sz w:val="18"/>
      </w:rPr>
      <w:t>2</w:t>
    </w:r>
    <w:r>
      <w:rPr>
        <w:rFonts w:ascii="Arial" w:hAnsi="Arial" w:cs="Arial"/>
        <w:b/>
        <w:bCs/>
        <w:sz w:val="18"/>
      </w:rPr>
      <w:fldChar w:fldCharType="end"/>
    </w:r>
  </w:p>
  <w:p w14:paraId="2A5CEE69"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474C71"/>
    <w:multiLevelType w:val="hybridMultilevel"/>
    <w:tmpl w:val="BB02DB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9CB564C"/>
    <w:multiLevelType w:val="hybridMultilevel"/>
    <w:tmpl w:val="B5F858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4CF03E3"/>
    <w:multiLevelType w:val="hybridMultilevel"/>
    <w:tmpl w:val="99F26C3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573F4908"/>
    <w:multiLevelType w:val="hybridMultilevel"/>
    <w:tmpl w:val="FE7EC7F8"/>
    <w:lvl w:ilvl="0" w:tplc="32B236DA">
      <w:start w:val="1"/>
      <w:numFmt w:val="bullet"/>
      <w:lvlText w:val="›"/>
      <w:lvlJc w:val="left"/>
      <w:pPr>
        <w:tabs>
          <w:tab w:val="num" w:pos="720"/>
        </w:tabs>
        <w:ind w:left="720" w:hanging="360"/>
      </w:pPr>
      <w:rPr>
        <w:rFonts w:ascii="Arial" w:hAnsi="Arial" w:hint="default"/>
      </w:rPr>
    </w:lvl>
    <w:lvl w:ilvl="1" w:tplc="A5E832EC">
      <w:start w:val="58"/>
      <w:numFmt w:val="bullet"/>
      <w:lvlText w:val="–"/>
      <w:lvlJc w:val="left"/>
      <w:pPr>
        <w:tabs>
          <w:tab w:val="num" w:pos="1440"/>
        </w:tabs>
        <w:ind w:left="1440" w:hanging="360"/>
      </w:pPr>
      <w:rPr>
        <w:rFonts w:ascii="Ericsson Capital TT" w:hAnsi="Ericsson Capital TT" w:hint="default"/>
      </w:rPr>
    </w:lvl>
    <w:lvl w:ilvl="2" w:tplc="DB5838F4">
      <w:start w:val="1"/>
      <w:numFmt w:val="bullet"/>
      <w:lvlText w:val="›"/>
      <w:lvlJc w:val="left"/>
      <w:pPr>
        <w:tabs>
          <w:tab w:val="num" w:pos="2160"/>
        </w:tabs>
        <w:ind w:left="2160" w:hanging="360"/>
      </w:pPr>
      <w:rPr>
        <w:rFonts w:ascii="Arial" w:hAnsi="Arial" w:hint="default"/>
      </w:rPr>
    </w:lvl>
    <w:lvl w:ilvl="3" w:tplc="6B900FFC" w:tentative="1">
      <w:start w:val="1"/>
      <w:numFmt w:val="bullet"/>
      <w:lvlText w:val="›"/>
      <w:lvlJc w:val="left"/>
      <w:pPr>
        <w:tabs>
          <w:tab w:val="num" w:pos="2880"/>
        </w:tabs>
        <w:ind w:left="2880" w:hanging="360"/>
      </w:pPr>
      <w:rPr>
        <w:rFonts w:ascii="Arial" w:hAnsi="Arial" w:hint="default"/>
      </w:rPr>
    </w:lvl>
    <w:lvl w:ilvl="4" w:tplc="73D2C0DE" w:tentative="1">
      <w:start w:val="1"/>
      <w:numFmt w:val="bullet"/>
      <w:lvlText w:val="›"/>
      <w:lvlJc w:val="left"/>
      <w:pPr>
        <w:tabs>
          <w:tab w:val="num" w:pos="3600"/>
        </w:tabs>
        <w:ind w:left="3600" w:hanging="360"/>
      </w:pPr>
      <w:rPr>
        <w:rFonts w:ascii="Arial" w:hAnsi="Arial" w:hint="default"/>
      </w:rPr>
    </w:lvl>
    <w:lvl w:ilvl="5" w:tplc="BD40F9A2" w:tentative="1">
      <w:start w:val="1"/>
      <w:numFmt w:val="bullet"/>
      <w:lvlText w:val="›"/>
      <w:lvlJc w:val="left"/>
      <w:pPr>
        <w:tabs>
          <w:tab w:val="num" w:pos="4320"/>
        </w:tabs>
        <w:ind w:left="4320" w:hanging="360"/>
      </w:pPr>
      <w:rPr>
        <w:rFonts w:ascii="Arial" w:hAnsi="Arial" w:hint="default"/>
      </w:rPr>
    </w:lvl>
    <w:lvl w:ilvl="6" w:tplc="6F4ADCD0" w:tentative="1">
      <w:start w:val="1"/>
      <w:numFmt w:val="bullet"/>
      <w:lvlText w:val="›"/>
      <w:lvlJc w:val="left"/>
      <w:pPr>
        <w:tabs>
          <w:tab w:val="num" w:pos="5040"/>
        </w:tabs>
        <w:ind w:left="5040" w:hanging="360"/>
      </w:pPr>
      <w:rPr>
        <w:rFonts w:ascii="Arial" w:hAnsi="Arial" w:hint="default"/>
      </w:rPr>
    </w:lvl>
    <w:lvl w:ilvl="7" w:tplc="DBBAF690" w:tentative="1">
      <w:start w:val="1"/>
      <w:numFmt w:val="bullet"/>
      <w:lvlText w:val="›"/>
      <w:lvlJc w:val="left"/>
      <w:pPr>
        <w:tabs>
          <w:tab w:val="num" w:pos="5760"/>
        </w:tabs>
        <w:ind w:left="5760" w:hanging="360"/>
      </w:pPr>
      <w:rPr>
        <w:rFonts w:ascii="Arial" w:hAnsi="Arial" w:hint="default"/>
      </w:rPr>
    </w:lvl>
    <w:lvl w:ilvl="8" w:tplc="8064EC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D8B7181"/>
    <w:multiLevelType w:val="hybridMultilevel"/>
    <w:tmpl w:val="7020F2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73C645EF"/>
    <w:multiLevelType w:val="hybridMultilevel"/>
    <w:tmpl w:val="4B440586"/>
    <w:lvl w:ilvl="0" w:tplc="62B2DC7E">
      <w:start w:val="1"/>
      <w:numFmt w:val="bullet"/>
      <w:lvlText w:val="›"/>
      <w:lvlJc w:val="left"/>
      <w:pPr>
        <w:tabs>
          <w:tab w:val="num" w:pos="720"/>
        </w:tabs>
        <w:ind w:left="720" w:hanging="360"/>
      </w:pPr>
      <w:rPr>
        <w:rFonts w:ascii="Arial" w:hAnsi="Arial" w:hint="default"/>
      </w:rPr>
    </w:lvl>
    <w:lvl w:ilvl="1" w:tplc="91CA6324" w:tentative="1">
      <w:start w:val="1"/>
      <w:numFmt w:val="bullet"/>
      <w:lvlText w:val="›"/>
      <w:lvlJc w:val="left"/>
      <w:pPr>
        <w:tabs>
          <w:tab w:val="num" w:pos="1440"/>
        </w:tabs>
        <w:ind w:left="1440" w:hanging="360"/>
      </w:pPr>
      <w:rPr>
        <w:rFonts w:ascii="Arial" w:hAnsi="Arial" w:hint="default"/>
      </w:rPr>
    </w:lvl>
    <w:lvl w:ilvl="2" w:tplc="EF4E18F4" w:tentative="1">
      <w:start w:val="1"/>
      <w:numFmt w:val="bullet"/>
      <w:lvlText w:val="›"/>
      <w:lvlJc w:val="left"/>
      <w:pPr>
        <w:tabs>
          <w:tab w:val="num" w:pos="2160"/>
        </w:tabs>
        <w:ind w:left="2160" w:hanging="360"/>
      </w:pPr>
      <w:rPr>
        <w:rFonts w:ascii="Arial" w:hAnsi="Arial" w:hint="default"/>
      </w:rPr>
    </w:lvl>
    <w:lvl w:ilvl="3" w:tplc="B65A4B08" w:tentative="1">
      <w:start w:val="1"/>
      <w:numFmt w:val="bullet"/>
      <w:lvlText w:val="›"/>
      <w:lvlJc w:val="left"/>
      <w:pPr>
        <w:tabs>
          <w:tab w:val="num" w:pos="2880"/>
        </w:tabs>
        <w:ind w:left="2880" w:hanging="360"/>
      </w:pPr>
      <w:rPr>
        <w:rFonts w:ascii="Arial" w:hAnsi="Arial" w:hint="default"/>
      </w:rPr>
    </w:lvl>
    <w:lvl w:ilvl="4" w:tplc="F3104C86" w:tentative="1">
      <w:start w:val="1"/>
      <w:numFmt w:val="bullet"/>
      <w:lvlText w:val="›"/>
      <w:lvlJc w:val="left"/>
      <w:pPr>
        <w:tabs>
          <w:tab w:val="num" w:pos="3600"/>
        </w:tabs>
        <w:ind w:left="3600" w:hanging="360"/>
      </w:pPr>
      <w:rPr>
        <w:rFonts w:ascii="Arial" w:hAnsi="Arial" w:hint="default"/>
      </w:rPr>
    </w:lvl>
    <w:lvl w:ilvl="5" w:tplc="3B2C7D2A" w:tentative="1">
      <w:start w:val="1"/>
      <w:numFmt w:val="bullet"/>
      <w:lvlText w:val="›"/>
      <w:lvlJc w:val="left"/>
      <w:pPr>
        <w:tabs>
          <w:tab w:val="num" w:pos="4320"/>
        </w:tabs>
        <w:ind w:left="4320" w:hanging="360"/>
      </w:pPr>
      <w:rPr>
        <w:rFonts w:ascii="Arial" w:hAnsi="Arial" w:hint="default"/>
      </w:rPr>
    </w:lvl>
    <w:lvl w:ilvl="6" w:tplc="34C4C236" w:tentative="1">
      <w:start w:val="1"/>
      <w:numFmt w:val="bullet"/>
      <w:lvlText w:val="›"/>
      <w:lvlJc w:val="left"/>
      <w:pPr>
        <w:tabs>
          <w:tab w:val="num" w:pos="5040"/>
        </w:tabs>
        <w:ind w:left="5040" w:hanging="360"/>
      </w:pPr>
      <w:rPr>
        <w:rFonts w:ascii="Arial" w:hAnsi="Arial" w:hint="default"/>
      </w:rPr>
    </w:lvl>
    <w:lvl w:ilvl="7" w:tplc="2EC6CC4A" w:tentative="1">
      <w:start w:val="1"/>
      <w:numFmt w:val="bullet"/>
      <w:lvlText w:val="›"/>
      <w:lvlJc w:val="left"/>
      <w:pPr>
        <w:tabs>
          <w:tab w:val="num" w:pos="5760"/>
        </w:tabs>
        <w:ind w:left="5760" w:hanging="360"/>
      </w:pPr>
      <w:rPr>
        <w:rFonts w:ascii="Arial" w:hAnsi="Arial" w:hint="default"/>
      </w:rPr>
    </w:lvl>
    <w:lvl w:ilvl="8" w:tplc="CF3E13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F401056"/>
    <w:multiLevelType w:val="hybridMultilevel"/>
    <w:tmpl w:val="81AAB882"/>
    <w:lvl w:ilvl="0" w:tplc="ACB8A6E8">
      <w:numFmt w:val="bullet"/>
      <w:lvlText w:val="-"/>
      <w:lvlJc w:val="left"/>
      <w:pPr>
        <w:ind w:left="1665" w:hanging="1305"/>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6"/>
  </w:num>
  <w:num w:numId="6">
    <w:abstractNumId w:val="0"/>
  </w:num>
  <w:num w:numId="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A5"/>
    <w:rsid w:val="000010E5"/>
    <w:rsid w:val="00003543"/>
    <w:rsid w:val="00007CBF"/>
    <w:rsid w:val="000104DE"/>
    <w:rsid w:val="00011CD6"/>
    <w:rsid w:val="00011D37"/>
    <w:rsid w:val="00012119"/>
    <w:rsid w:val="00013E05"/>
    <w:rsid w:val="00016250"/>
    <w:rsid w:val="000222BA"/>
    <w:rsid w:val="00026167"/>
    <w:rsid w:val="00026274"/>
    <w:rsid w:val="000333EC"/>
    <w:rsid w:val="00033C46"/>
    <w:rsid w:val="00036FC7"/>
    <w:rsid w:val="000374E9"/>
    <w:rsid w:val="000419A6"/>
    <w:rsid w:val="0004414A"/>
    <w:rsid w:val="00046CF5"/>
    <w:rsid w:val="00051D1B"/>
    <w:rsid w:val="000523E9"/>
    <w:rsid w:val="0005325C"/>
    <w:rsid w:val="000533F0"/>
    <w:rsid w:val="00054377"/>
    <w:rsid w:val="00055432"/>
    <w:rsid w:val="000560BA"/>
    <w:rsid w:val="000571A6"/>
    <w:rsid w:val="0006207C"/>
    <w:rsid w:val="0006256B"/>
    <w:rsid w:val="00066C03"/>
    <w:rsid w:val="0007155D"/>
    <w:rsid w:val="00072A8B"/>
    <w:rsid w:val="00072B12"/>
    <w:rsid w:val="00073D18"/>
    <w:rsid w:val="00075FC1"/>
    <w:rsid w:val="000761B8"/>
    <w:rsid w:val="0007693E"/>
    <w:rsid w:val="00077D47"/>
    <w:rsid w:val="00081FCA"/>
    <w:rsid w:val="000837E0"/>
    <w:rsid w:val="000850FC"/>
    <w:rsid w:val="00085A84"/>
    <w:rsid w:val="00087773"/>
    <w:rsid w:val="00090005"/>
    <w:rsid w:val="00090B80"/>
    <w:rsid w:val="00091801"/>
    <w:rsid w:val="00091909"/>
    <w:rsid w:val="000919B7"/>
    <w:rsid w:val="000921F0"/>
    <w:rsid w:val="00094211"/>
    <w:rsid w:val="0009485A"/>
    <w:rsid w:val="00097EEA"/>
    <w:rsid w:val="000A0786"/>
    <w:rsid w:val="000A3AC9"/>
    <w:rsid w:val="000A5410"/>
    <w:rsid w:val="000A716F"/>
    <w:rsid w:val="000B1BA6"/>
    <w:rsid w:val="000B2621"/>
    <w:rsid w:val="000B42DE"/>
    <w:rsid w:val="000B4885"/>
    <w:rsid w:val="000B75BA"/>
    <w:rsid w:val="000C350D"/>
    <w:rsid w:val="000C4072"/>
    <w:rsid w:val="000C4C06"/>
    <w:rsid w:val="000D095D"/>
    <w:rsid w:val="000D323A"/>
    <w:rsid w:val="000D33CC"/>
    <w:rsid w:val="000D45A3"/>
    <w:rsid w:val="000E030C"/>
    <w:rsid w:val="000E2531"/>
    <w:rsid w:val="000E5264"/>
    <w:rsid w:val="000E53A4"/>
    <w:rsid w:val="000F2382"/>
    <w:rsid w:val="000F2B17"/>
    <w:rsid w:val="000F5EE9"/>
    <w:rsid w:val="001014AB"/>
    <w:rsid w:val="00103218"/>
    <w:rsid w:val="00104C3C"/>
    <w:rsid w:val="00105E82"/>
    <w:rsid w:val="00106A4A"/>
    <w:rsid w:val="00110888"/>
    <w:rsid w:val="0012114C"/>
    <w:rsid w:val="00125B3D"/>
    <w:rsid w:val="001274BD"/>
    <w:rsid w:val="001277FD"/>
    <w:rsid w:val="00131CFA"/>
    <w:rsid w:val="0013204E"/>
    <w:rsid w:val="00135F17"/>
    <w:rsid w:val="0013795B"/>
    <w:rsid w:val="00137D5A"/>
    <w:rsid w:val="00137ED5"/>
    <w:rsid w:val="00140D73"/>
    <w:rsid w:val="001452FC"/>
    <w:rsid w:val="001461D4"/>
    <w:rsid w:val="00150553"/>
    <w:rsid w:val="00154FE9"/>
    <w:rsid w:val="00155190"/>
    <w:rsid w:val="00160271"/>
    <w:rsid w:val="00160D5C"/>
    <w:rsid w:val="001614AD"/>
    <w:rsid w:val="001616E7"/>
    <w:rsid w:val="001649CC"/>
    <w:rsid w:val="00167A94"/>
    <w:rsid w:val="00170007"/>
    <w:rsid w:val="00170785"/>
    <w:rsid w:val="0017195E"/>
    <w:rsid w:val="00171A48"/>
    <w:rsid w:val="00175A6E"/>
    <w:rsid w:val="00175E12"/>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D46C6"/>
    <w:rsid w:val="001D6D88"/>
    <w:rsid w:val="001E17F1"/>
    <w:rsid w:val="001E1EF8"/>
    <w:rsid w:val="001E5509"/>
    <w:rsid w:val="001E795E"/>
    <w:rsid w:val="001F1301"/>
    <w:rsid w:val="001F2E4F"/>
    <w:rsid w:val="001F66E7"/>
    <w:rsid w:val="001F7B32"/>
    <w:rsid w:val="001F7C2B"/>
    <w:rsid w:val="00203075"/>
    <w:rsid w:val="00210A24"/>
    <w:rsid w:val="00210A4E"/>
    <w:rsid w:val="0021418B"/>
    <w:rsid w:val="002154EF"/>
    <w:rsid w:val="00216BE9"/>
    <w:rsid w:val="00216E2E"/>
    <w:rsid w:val="002177BE"/>
    <w:rsid w:val="00222DE6"/>
    <w:rsid w:val="002238F9"/>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0FFC"/>
    <w:rsid w:val="0028105E"/>
    <w:rsid w:val="002834F8"/>
    <w:rsid w:val="00283A7B"/>
    <w:rsid w:val="0028590D"/>
    <w:rsid w:val="00287EF5"/>
    <w:rsid w:val="00291A4B"/>
    <w:rsid w:val="002937C2"/>
    <w:rsid w:val="002938F8"/>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06636"/>
    <w:rsid w:val="00310335"/>
    <w:rsid w:val="00312932"/>
    <w:rsid w:val="00313F4C"/>
    <w:rsid w:val="00316663"/>
    <w:rsid w:val="00317C3D"/>
    <w:rsid w:val="00320FF2"/>
    <w:rsid w:val="003225F5"/>
    <w:rsid w:val="0032281D"/>
    <w:rsid w:val="003248FB"/>
    <w:rsid w:val="003257D2"/>
    <w:rsid w:val="00325F20"/>
    <w:rsid w:val="0033074C"/>
    <w:rsid w:val="00330C3E"/>
    <w:rsid w:val="00331DF1"/>
    <w:rsid w:val="00332149"/>
    <w:rsid w:val="00332B7C"/>
    <w:rsid w:val="0033588A"/>
    <w:rsid w:val="00335E89"/>
    <w:rsid w:val="0033698F"/>
    <w:rsid w:val="00336BA2"/>
    <w:rsid w:val="00336CBE"/>
    <w:rsid w:val="00340905"/>
    <w:rsid w:val="00340ADD"/>
    <w:rsid w:val="00342736"/>
    <w:rsid w:val="00345F21"/>
    <w:rsid w:val="00346C62"/>
    <w:rsid w:val="00347E31"/>
    <w:rsid w:val="003532E1"/>
    <w:rsid w:val="0035357A"/>
    <w:rsid w:val="00353869"/>
    <w:rsid w:val="00354D22"/>
    <w:rsid w:val="003553E9"/>
    <w:rsid w:val="00357380"/>
    <w:rsid w:val="00370904"/>
    <w:rsid w:val="003730BC"/>
    <w:rsid w:val="00374292"/>
    <w:rsid w:val="00374DB7"/>
    <w:rsid w:val="0038385D"/>
    <w:rsid w:val="00385039"/>
    <w:rsid w:val="003851D3"/>
    <w:rsid w:val="00385EA1"/>
    <w:rsid w:val="00390B22"/>
    <w:rsid w:val="00392618"/>
    <w:rsid w:val="00393862"/>
    <w:rsid w:val="00393D0A"/>
    <w:rsid w:val="00393D1E"/>
    <w:rsid w:val="003963D3"/>
    <w:rsid w:val="003A313F"/>
    <w:rsid w:val="003A4994"/>
    <w:rsid w:val="003A52BF"/>
    <w:rsid w:val="003A7C29"/>
    <w:rsid w:val="003B2BF4"/>
    <w:rsid w:val="003B3399"/>
    <w:rsid w:val="003B41CB"/>
    <w:rsid w:val="003B6A36"/>
    <w:rsid w:val="003B7960"/>
    <w:rsid w:val="003C2A86"/>
    <w:rsid w:val="003C33FC"/>
    <w:rsid w:val="003C3D91"/>
    <w:rsid w:val="003C4216"/>
    <w:rsid w:val="003C5090"/>
    <w:rsid w:val="003C6F36"/>
    <w:rsid w:val="003C73E3"/>
    <w:rsid w:val="003D0F51"/>
    <w:rsid w:val="003D2D52"/>
    <w:rsid w:val="003D4491"/>
    <w:rsid w:val="003D49AC"/>
    <w:rsid w:val="003D571E"/>
    <w:rsid w:val="003E2F46"/>
    <w:rsid w:val="003E4E2E"/>
    <w:rsid w:val="003E5186"/>
    <w:rsid w:val="003E5237"/>
    <w:rsid w:val="003E58DC"/>
    <w:rsid w:val="003E5A9D"/>
    <w:rsid w:val="003E70D9"/>
    <w:rsid w:val="003F12D4"/>
    <w:rsid w:val="003F22FA"/>
    <w:rsid w:val="003F30FF"/>
    <w:rsid w:val="003F32F9"/>
    <w:rsid w:val="003F53DD"/>
    <w:rsid w:val="003F592B"/>
    <w:rsid w:val="003F64E7"/>
    <w:rsid w:val="003F6FC1"/>
    <w:rsid w:val="003F74CF"/>
    <w:rsid w:val="003F7D3C"/>
    <w:rsid w:val="004000A8"/>
    <w:rsid w:val="00400227"/>
    <w:rsid w:val="00400A4D"/>
    <w:rsid w:val="004077CF"/>
    <w:rsid w:val="00411C48"/>
    <w:rsid w:val="00413E65"/>
    <w:rsid w:val="00415FD4"/>
    <w:rsid w:val="004165B9"/>
    <w:rsid w:val="004178EE"/>
    <w:rsid w:val="0042051B"/>
    <w:rsid w:val="00420A23"/>
    <w:rsid w:val="004211FE"/>
    <w:rsid w:val="004215EC"/>
    <w:rsid w:val="004219CC"/>
    <w:rsid w:val="00421CFF"/>
    <w:rsid w:val="00422128"/>
    <w:rsid w:val="004306A6"/>
    <w:rsid w:val="0043094C"/>
    <w:rsid w:val="004315AA"/>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0ACA"/>
    <w:rsid w:val="00460ED8"/>
    <w:rsid w:val="004611B1"/>
    <w:rsid w:val="00461AC9"/>
    <w:rsid w:val="00464325"/>
    <w:rsid w:val="00464BD7"/>
    <w:rsid w:val="00464D2E"/>
    <w:rsid w:val="00466C1D"/>
    <w:rsid w:val="00467443"/>
    <w:rsid w:val="004701CB"/>
    <w:rsid w:val="00470A19"/>
    <w:rsid w:val="004712B2"/>
    <w:rsid w:val="004717C6"/>
    <w:rsid w:val="004738F7"/>
    <w:rsid w:val="00473CDD"/>
    <w:rsid w:val="0047460A"/>
    <w:rsid w:val="004749EE"/>
    <w:rsid w:val="00474B2E"/>
    <w:rsid w:val="00475AA1"/>
    <w:rsid w:val="00475D24"/>
    <w:rsid w:val="004770EA"/>
    <w:rsid w:val="004777F3"/>
    <w:rsid w:val="00480568"/>
    <w:rsid w:val="004813E6"/>
    <w:rsid w:val="00481AA2"/>
    <w:rsid w:val="00482E93"/>
    <w:rsid w:val="004846DE"/>
    <w:rsid w:val="00486D03"/>
    <w:rsid w:val="00487CA5"/>
    <w:rsid w:val="00492A22"/>
    <w:rsid w:val="00494138"/>
    <w:rsid w:val="00497884"/>
    <w:rsid w:val="004A0C1D"/>
    <w:rsid w:val="004A12E8"/>
    <w:rsid w:val="004A29D9"/>
    <w:rsid w:val="004A29FC"/>
    <w:rsid w:val="004A2E8B"/>
    <w:rsid w:val="004A43B9"/>
    <w:rsid w:val="004A7047"/>
    <w:rsid w:val="004A7A3A"/>
    <w:rsid w:val="004B1956"/>
    <w:rsid w:val="004B458C"/>
    <w:rsid w:val="004B55A2"/>
    <w:rsid w:val="004C1170"/>
    <w:rsid w:val="004C34C8"/>
    <w:rsid w:val="004C4F48"/>
    <w:rsid w:val="004D5ADB"/>
    <w:rsid w:val="004D61FD"/>
    <w:rsid w:val="004D700F"/>
    <w:rsid w:val="004D7E44"/>
    <w:rsid w:val="004D7EA0"/>
    <w:rsid w:val="004D7F5F"/>
    <w:rsid w:val="004D7FB4"/>
    <w:rsid w:val="004E050D"/>
    <w:rsid w:val="004E05B9"/>
    <w:rsid w:val="004E0CDD"/>
    <w:rsid w:val="004E24D9"/>
    <w:rsid w:val="004E364B"/>
    <w:rsid w:val="004E3F94"/>
    <w:rsid w:val="004E79FA"/>
    <w:rsid w:val="004F3590"/>
    <w:rsid w:val="004F4951"/>
    <w:rsid w:val="004F6848"/>
    <w:rsid w:val="004F7E7F"/>
    <w:rsid w:val="004F7F74"/>
    <w:rsid w:val="00502B81"/>
    <w:rsid w:val="00505258"/>
    <w:rsid w:val="0051464E"/>
    <w:rsid w:val="0051529A"/>
    <w:rsid w:val="0051707F"/>
    <w:rsid w:val="0051763B"/>
    <w:rsid w:val="00517646"/>
    <w:rsid w:val="0051790C"/>
    <w:rsid w:val="00523788"/>
    <w:rsid w:val="005250A2"/>
    <w:rsid w:val="00530729"/>
    <w:rsid w:val="00531886"/>
    <w:rsid w:val="0053238C"/>
    <w:rsid w:val="005325E6"/>
    <w:rsid w:val="005326B5"/>
    <w:rsid w:val="0053289E"/>
    <w:rsid w:val="00533A87"/>
    <w:rsid w:val="00535B2A"/>
    <w:rsid w:val="00537409"/>
    <w:rsid w:val="00537784"/>
    <w:rsid w:val="00546D8E"/>
    <w:rsid w:val="005509C5"/>
    <w:rsid w:val="00550F6B"/>
    <w:rsid w:val="00553704"/>
    <w:rsid w:val="00553FA3"/>
    <w:rsid w:val="005552EA"/>
    <w:rsid w:val="00555410"/>
    <w:rsid w:val="0055589B"/>
    <w:rsid w:val="00555BB9"/>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4BB2"/>
    <w:rsid w:val="005A6D92"/>
    <w:rsid w:val="005A74D7"/>
    <w:rsid w:val="005B2C9D"/>
    <w:rsid w:val="005B4E39"/>
    <w:rsid w:val="005B6C5E"/>
    <w:rsid w:val="005C1663"/>
    <w:rsid w:val="005C1814"/>
    <w:rsid w:val="005C2489"/>
    <w:rsid w:val="005C58E5"/>
    <w:rsid w:val="005C7609"/>
    <w:rsid w:val="005D232C"/>
    <w:rsid w:val="005D265F"/>
    <w:rsid w:val="005D2AA1"/>
    <w:rsid w:val="005D466F"/>
    <w:rsid w:val="005D478E"/>
    <w:rsid w:val="005E1A90"/>
    <w:rsid w:val="005E2C40"/>
    <w:rsid w:val="005E2FD5"/>
    <w:rsid w:val="005E3452"/>
    <w:rsid w:val="005E44C2"/>
    <w:rsid w:val="005E63A2"/>
    <w:rsid w:val="005E7B58"/>
    <w:rsid w:val="005E7F99"/>
    <w:rsid w:val="005F0987"/>
    <w:rsid w:val="005F280C"/>
    <w:rsid w:val="006000EE"/>
    <w:rsid w:val="0060342A"/>
    <w:rsid w:val="006041C9"/>
    <w:rsid w:val="006044BF"/>
    <w:rsid w:val="0060725F"/>
    <w:rsid w:val="00617E57"/>
    <w:rsid w:val="0062061E"/>
    <w:rsid w:val="00621598"/>
    <w:rsid w:val="00623A57"/>
    <w:rsid w:val="006240AF"/>
    <w:rsid w:val="006242E8"/>
    <w:rsid w:val="00624501"/>
    <w:rsid w:val="006265A1"/>
    <w:rsid w:val="00630361"/>
    <w:rsid w:val="006326B5"/>
    <w:rsid w:val="00632B52"/>
    <w:rsid w:val="006365C3"/>
    <w:rsid w:val="006369B1"/>
    <w:rsid w:val="00636C3E"/>
    <w:rsid w:val="00642364"/>
    <w:rsid w:val="00643319"/>
    <w:rsid w:val="0064341B"/>
    <w:rsid w:val="006443B1"/>
    <w:rsid w:val="00645C50"/>
    <w:rsid w:val="00650B6A"/>
    <w:rsid w:val="00650C89"/>
    <w:rsid w:val="00651579"/>
    <w:rsid w:val="006519FE"/>
    <w:rsid w:val="006535C5"/>
    <w:rsid w:val="006536D6"/>
    <w:rsid w:val="00653703"/>
    <w:rsid w:val="00653F38"/>
    <w:rsid w:val="006548AA"/>
    <w:rsid w:val="00660504"/>
    <w:rsid w:val="006612B2"/>
    <w:rsid w:val="00662198"/>
    <w:rsid w:val="00662A0B"/>
    <w:rsid w:val="00666983"/>
    <w:rsid w:val="00670589"/>
    <w:rsid w:val="006709A6"/>
    <w:rsid w:val="00670E70"/>
    <w:rsid w:val="00677959"/>
    <w:rsid w:val="00677D34"/>
    <w:rsid w:val="00681534"/>
    <w:rsid w:val="00683031"/>
    <w:rsid w:val="006839F8"/>
    <w:rsid w:val="00685BE8"/>
    <w:rsid w:val="006860BF"/>
    <w:rsid w:val="006868ED"/>
    <w:rsid w:val="006876A4"/>
    <w:rsid w:val="00687972"/>
    <w:rsid w:val="00692A03"/>
    <w:rsid w:val="00695B8B"/>
    <w:rsid w:val="006969FB"/>
    <w:rsid w:val="00697C20"/>
    <w:rsid w:val="006A209D"/>
    <w:rsid w:val="006A55B5"/>
    <w:rsid w:val="006A5A24"/>
    <w:rsid w:val="006A6EB9"/>
    <w:rsid w:val="006B147F"/>
    <w:rsid w:val="006B4329"/>
    <w:rsid w:val="006B46B3"/>
    <w:rsid w:val="006B5F25"/>
    <w:rsid w:val="006B7AAC"/>
    <w:rsid w:val="006C00B2"/>
    <w:rsid w:val="006C0570"/>
    <w:rsid w:val="006C0823"/>
    <w:rsid w:val="006C21E1"/>
    <w:rsid w:val="006C2A65"/>
    <w:rsid w:val="006C4EC5"/>
    <w:rsid w:val="006C6244"/>
    <w:rsid w:val="006C654A"/>
    <w:rsid w:val="006C69CD"/>
    <w:rsid w:val="006D1120"/>
    <w:rsid w:val="006D2790"/>
    <w:rsid w:val="006D55EF"/>
    <w:rsid w:val="006D5A42"/>
    <w:rsid w:val="006D5ADF"/>
    <w:rsid w:val="006D5CEC"/>
    <w:rsid w:val="006D5D4A"/>
    <w:rsid w:val="006E0EC6"/>
    <w:rsid w:val="006E16A7"/>
    <w:rsid w:val="006E2043"/>
    <w:rsid w:val="006E319F"/>
    <w:rsid w:val="006E48E6"/>
    <w:rsid w:val="006E61F5"/>
    <w:rsid w:val="006E7759"/>
    <w:rsid w:val="006F0564"/>
    <w:rsid w:val="006F0865"/>
    <w:rsid w:val="006F0DD8"/>
    <w:rsid w:val="006F10EF"/>
    <w:rsid w:val="006F1A13"/>
    <w:rsid w:val="006F4579"/>
    <w:rsid w:val="006F5C01"/>
    <w:rsid w:val="006F6893"/>
    <w:rsid w:val="006F6B6A"/>
    <w:rsid w:val="007005E2"/>
    <w:rsid w:val="007018A4"/>
    <w:rsid w:val="007023A1"/>
    <w:rsid w:val="007040FC"/>
    <w:rsid w:val="00704480"/>
    <w:rsid w:val="00707CD5"/>
    <w:rsid w:val="00710209"/>
    <w:rsid w:val="00720ADC"/>
    <w:rsid w:val="00720ED4"/>
    <w:rsid w:val="00721816"/>
    <w:rsid w:val="00721E20"/>
    <w:rsid w:val="007310DF"/>
    <w:rsid w:val="0073482C"/>
    <w:rsid w:val="0073542A"/>
    <w:rsid w:val="007358D5"/>
    <w:rsid w:val="007409B9"/>
    <w:rsid w:val="00741D4C"/>
    <w:rsid w:val="00741EB9"/>
    <w:rsid w:val="00742A8A"/>
    <w:rsid w:val="00745F60"/>
    <w:rsid w:val="00746DBC"/>
    <w:rsid w:val="00750EC5"/>
    <w:rsid w:val="007518BC"/>
    <w:rsid w:val="00752CC0"/>
    <w:rsid w:val="00756A99"/>
    <w:rsid w:val="007621D9"/>
    <w:rsid w:val="00763228"/>
    <w:rsid w:val="0076380E"/>
    <w:rsid w:val="007646FA"/>
    <w:rsid w:val="00765D73"/>
    <w:rsid w:val="00771EDE"/>
    <w:rsid w:val="0077472C"/>
    <w:rsid w:val="00776587"/>
    <w:rsid w:val="0077680C"/>
    <w:rsid w:val="007776D4"/>
    <w:rsid w:val="00782602"/>
    <w:rsid w:val="00783286"/>
    <w:rsid w:val="007837D6"/>
    <w:rsid w:val="00783C05"/>
    <w:rsid w:val="00784769"/>
    <w:rsid w:val="007854CD"/>
    <w:rsid w:val="0079042B"/>
    <w:rsid w:val="00791F90"/>
    <w:rsid w:val="00792996"/>
    <w:rsid w:val="007937CE"/>
    <w:rsid w:val="00795101"/>
    <w:rsid w:val="007A0C66"/>
    <w:rsid w:val="007A2490"/>
    <w:rsid w:val="007A3567"/>
    <w:rsid w:val="007A3929"/>
    <w:rsid w:val="007A43BB"/>
    <w:rsid w:val="007A4840"/>
    <w:rsid w:val="007A4C79"/>
    <w:rsid w:val="007A4DF3"/>
    <w:rsid w:val="007A58F2"/>
    <w:rsid w:val="007A72A9"/>
    <w:rsid w:val="007A7CB5"/>
    <w:rsid w:val="007B09F1"/>
    <w:rsid w:val="007B0F4D"/>
    <w:rsid w:val="007B185E"/>
    <w:rsid w:val="007B3CC3"/>
    <w:rsid w:val="007B49C6"/>
    <w:rsid w:val="007B4AA5"/>
    <w:rsid w:val="007C0E66"/>
    <w:rsid w:val="007C1560"/>
    <w:rsid w:val="007D0BBE"/>
    <w:rsid w:val="007D361A"/>
    <w:rsid w:val="007D67E9"/>
    <w:rsid w:val="007D6DD4"/>
    <w:rsid w:val="007D7E09"/>
    <w:rsid w:val="007E4AC3"/>
    <w:rsid w:val="007E5CC3"/>
    <w:rsid w:val="007E74D2"/>
    <w:rsid w:val="007F10FF"/>
    <w:rsid w:val="007F23E4"/>
    <w:rsid w:val="007F29FB"/>
    <w:rsid w:val="007F3079"/>
    <w:rsid w:val="007F3DE6"/>
    <w:rsid w:val="007F5986"/>
    <w:rsid w:val="007F65D1"/>
    <w:rsid w:val="007F7E1F"/>
    <w:rsid w:val="0080288A"/>
    <w:rsid w:val="00811AD0"/>
    <w:rsid w:val="00812601"/>
    <w:rsid w:val="00822907"/>
    <w:rsid w:val="00823728"/>
    <w:rsid w:val="00823C2A"/>
    <w:rsid w:val="00825443"/>
    <w:rsid w:val="00826EA5"/>
    <w:rsid w:val="008279EF"/>
    <w:rsid w:val="0083027D"/>
    <w:rsid w:val="00834C69"/>
    <w:rsid w:val="0084059E"/>
    <w:rsid w:val="00841D98"/>
    <w:rsid w:val="00842121"/>
    <w:rsid w:val="00843B4B"/>
    <w:rsid w:val="00843EF9"/>
    <w:rsid w:val="00845E7C"/>
    <w:rsid w:val="00847E00"/>
    <w:rsid w:val="00850BE3"/>
    <w:rsid w:val="0085203E"/>
    <w:rsid w:val="00852843"/>
    <w:rsid w:val="008537BB"/>
    <w:rsid w:val="008554A9"/>
    <w:rsid w:val="008555C0"/>
    <w:rsid w:val="008557C5"/>
    <w:rsid w:val="00857536"/>
    <w:rsid w:val="008605BC"/>
    <w:rsid w:val="0086071A"/>
    <w:rsid w:val="0086390B"/>
    <w:rsid w:val="00863B8B"/>
    <w:rsid w:val="00866C48"/>
    <w:rsid w:val="00866F55"/>
    <w:rsid w:val="008709B2"/>
    <w:rsid w:val="00870DC8"/>
    <w:rsid w:val="008713A7"/>
    <w:rsid w:val="00872802"/>
    <w:rsid w:val="00872D6C"/>
    <w:rsid w:val="00873859"/>
    <w:rsid w:val="00876A0B"/>
    <w:rsid w:val="00880648"/>
    <w:rsid w:val="00880C51"/>
    <w:rsid w:val="00883CCA"/>
    <w:rsid w:val="00884CFA"/>
    <w:rsid w:val="00884F85"/>
    <w:rsid w:val="00886B40"/>
    <w:rsid w:val="00886D0D"/>
    <w:rsid w:val="008922C0"/>
    <w:rsid w:val="0089532B"/>
    <w:rsid w:val="00896548"/>
    <w:rsid w:val="00896618"/>
    <w:rsid w:val="008973EA"/>
    <w:rsid w:val="008A0670"/>
    <w:rsid w:val="008A1065"/>
    <w:rsid w:val="008A17AE"/>
    <w:rsid w:val="008A1F25"/>
    <w:rsid w:val="008A2F23"/>
    <w:rsid w:val="008A3D6D"/>
    <w:rsid w:val="008A5D28"/>
    <w:rsid w:val="008A651E"/>
    <w:rsid w:val="008B0DEC"/>
    <w:rsid w:val="008B395F"/>
    <w:rsid w:val="008B590E"/>
    <w:rsid w:val="008B747D"/>
    <w:rsid w:val="008C37B7"/>
    <w:rsid w:val="008C5E40"/>
    <w:rsid w:val="008C731B"/>
    <w:rsid w:val="008D10CA"/>
    <w:rsid w:val="008D1236"/>
    <w:rsid w:val="008D34F8"/>
    <w:rsid w:val="008E1DEF"/>
    <w:rsid w:val="008E20C9"/>
    <w:rsid w:val="008E36C0"/>
    <w:rsid w:val="008E39F4"/>
    <w:rsid w:val="008E5815"/>
    <w:rsid w:val="008E5871"/>
    <w:rsid w:val="008F0B6D"/>
    <w:rsid w:val="008F0D5E"/>
    <w:rsid w:val="008F69DD"/>
    <w:rsid w:val="0090040D"/>
    <w:rsid w:val="00901B30"/>
    <w:rsid w:val="00902275"/>
    <w:rsid w:val="0090339C"/>
    <w:rsid w:val="009037C2"/>
    <w:rsid w:val="00905C89"/>
    <w:rsid w:val="0090780A"/>
    <w:rsid w:val="009111C1"/>
    <w:rsid w:val="009123AE"/>
    <w:rsid w:val="0091379C"/>
    <w:rsid w:val="00913D23"/>
    <w:rsid w:val="00914252"/>
    <w:rsid w:val="00914516"/>
    <w:rsid w:val="00917F81"/>
    <w:rsid w:val="0092259D"/>
    <w:rsid w:val="00922CC5"/>
    <w:rsid w:val="009247D6"/>
    <w:rsid w:val="00927A26"/>
    <w:rsid w:val="00927C25"/>
    <w:rsid w:val="00930516"/>
    <w:rsid w:val="009323F3"/>
    <w:rsid w:val="00933646"/>
    <w:rsid w:val="0093534B"/>
    <w:rsid w:val="0093584E"/>
    <w:rsid w:val="009407F9"/>
    <w:rsid w:val="00942E6B"/>
    <w:rsid w:val="00945A73"/>
    <w:rsid w:val="00946F93"/>
    <w:rsid w:val="009519C2"/>
    <w:rsid w:val="00952B50"/>
    <w:rsid w:val="009534C5"/>
    <w:rsid w:val="0095439B"/>
    <w:rsid w:val="009557EE"/>
    <w:rsid w:val="0095603B"/>
    <w:rsid w:val="00957E87"/>
    <w:rsid w:val="00960604"/>
    <w:rsid w:val="00960802"/>
    <w:rsid w:val="00962400"/>
    <w:rsid w:val="009632FE"/>
    <w:rsid w:val="00964F7B"/>
    <w:rsid w:val="00970995"/>
    <w:rsid w:val="00971500"/>
    <w:rsid w:val="00971C4D"/>
    <w:rsid w:val="00973517"/>
    <w:rsid w:val="0097379E"/>
    <w:rsid w:val="009756B8"/>
    <w:rsid w:val="0097799E"/>
    <w:rsid w:val="009813C3"/>
    <w:rsid w:val="00982FB6"/>
    <w:rsid w:val="00987221"/>
    <w:rsid w:val="0098729F"/>
    <w:rsid w:val="00990AC6"/>
    <w:rsid w:val="00991271"/>
    <w:rsid w:val="00994664"/>
    <w:rsid w:val="00995BBC"/>
    <w:rsid w:val="009A3142"/>
    <w:rsid w:val="009A3AE8"/>
    <w:rsid w:val="009A49EA"/>
    <w:rsid w:val="009A6915"/>
    <w:rsid w:val="009A73AA"/>
    <w:rsid w:val="009A79F4"/>
    <w:rsid w:val="009B1BA2"/>
    <w:rsid w:val="009B2117"/>
    <w:rsid w:val="009B2891"/>
    <w:rsid w:val="009B36F4"/>
    <w:rsid w:val="009B3BAC"/>
    <w:rsid w:val="009B4184"/>
    <w:rsid w:val="009B6DE6"/>
    <w:rsid w:val="009B6F1B"/>
    <w:rsid w:val="009B7639"/>
    <w:rsid w:val="009B773F"/>
    <w:rsid w:val="009B7E8A"/>
    <w:rsid w:val="009C2CEF"/>
    <w:rsid w:val="009C6EA3"/>
    <w:rsid w:val="009D2321"/>
    <w:rsid w:val="009D3AA7"/>
    <w:rsid w:val="009D41CA"/>
    <w:rsid w:val="009D4C01"/>
    <w:rsid w:val="009D5D26"/>
    <w:rsid w:val="009D6B46"/>
    <w:rsid w:val="009D717E"/>
    <w:rsid w:val="009E588E"/>
    <w:rsid w:val="009E6E28"/>
    <w:rsid w:val="009F084E"/>
    <w:rsid w:val="009F186E"/>
    <w:rsid w:val="009F19D2"/>
    <w:rsid w:val="009F22D9"/>
    <w:rsid w:val="009F413B"/>
    <w:rsid w:val="009F4779"/>
    <w:rsid w:val="009F4C37"/>
    <w:rsid w:val="009F68C4"/>
    <w:rsid w:val="009F75B1"/>
    <w:rsid w:val="009F7B84"/>
    <w:rsid w:val="009F7FF8"/>
    <w:rsid w:val="00A0239B"/>
    <w:rsid w:val="00A02A49"/>
    <w:rsid w:val="00A06CB8"/>
    <w:rsid w:val="00A138BF"/>
    <w:rsid w:val="00A147C5"/>
    <w:rsid w:val="00A16689"/>
    <w:rsid w:val="00A17ECC"/>
    <w:rsid w:val="00A17F23"/>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43C50"/>
    <w:rsid w:val="00A45441"/>
    <w:rsid w:val="00A46753"/>
    <w:rsid w:val="00A5003B"/>
    <w:rsid w:val="00A50EAC"/>
    <w:rsid w:val="00A51EE2"/>
    <w:rsid w:val="00A5269B"/>
    <w:rsid w:val="00A56079"/>
    <w:rsid w:val="00A56667"/>
    <w:rsid w:val="00A60EBB"/>
    <w:rsid w:val="00A61EF8"/>
    <w:rsid w:val="00A624AB"/>
    <w:rsid w:val="00A62722"/>
    <w:rsid w:val="00A6655F"/>
    <w:rsid w:val="00A665BF"/>
    <w:rsid w:val="00A70156"/>
    <w:rsid w:val="00A711E7"/>
    <w:rsid w:val="00A73CB6"/>
    <w:rsid w:val="00A73F2B"/>
    <w:rsid w:val="00A75201"/>
    <w:rsid w:val="00A75F55"/>
    <w:rsid w:val="00A76188"/>
    <w:rsid w:val="00A770FA"/>
    <w:rsid w:val="00A77BCE"/>
    <w:rsid w:val="00A81807"/>
    <w:rsid w:val="00A81941"/>
    <w:rsid w:val="00A82146"/>
    <w:rsid w:val="00A82DD6"/>
    <w:rsid w:val="00A83478"/>
    <w:rsid w:val="00A8367C"/>
    <w:rsid w:val="00A8555E"/>
    <w:rsid w:val="00A90CC9"/>
    <w:rsid w:val="00A95A29"/>
    <w:rsid w:val="00A967C1"/>
    <w:rsid w:val="00AA344E"/>
    <w:rsid w:val="00AA718F"/>
    <w:rsid w:val="00AB37CF"/>
    <w:rsid w:val="00AB3B12"/>
    <w:rsid w:val="00AB5FEF"/>
    <w:rsid w:val="00AB6720"/>
    <w:rsid w:val="00AC02B0"/>
    <w:rsid w:val="00AC3B93"/>
    <w:rsid w:val="00AC43EB"/>
    <w:rsid w:val="00AC5148"/>
    <w:rsid w:val="00AC54A0"/>
    <w:rsid w:val="00AC79A9"/>
    <w:rsid w:val="00AD134A"/>
    <w:rsid w:val="00AD1593"/>
    <w:rsid w:val="00AD249E"/>
    <w:rsid w:val="00AD32C0"/>
    <w:rsid w:val="00AD5B9F"/>
    <w:rsid w:val="00AD6ED9"/>
    <w:rsid w:val="00AE1051"/>
    <w:rsid w:val="00AE24B9"/>
    <w:rsid w:val="00AE2AAC"/>
    <w:rsid w:val="00AE3961"/>
    <w:rsid w:val="00AE3EFF"/>
    <w:rsid w:val="00AE4D21"/>
    <w:rsid w:val="00AE5DFB"/>
    <w:rsid w:val="00AE702D"/>
    <w:rsid w:val="00AF08A3"/>
    <w:rsid w:val="00AF093A"/>
    <w:rsid w:val="00AF0C3D"/>
    <w:rsid w:val="00AF4E76"/>
    <w:rsid w:val="00AF6554"/>
    <w:rsid w:val="00AF71BB"/>
    <w:rsid w:val="00AF7284"/>
    <w:rsid w:val="00AF7EDC"/>
    <w:rsid w:val="00B0039A"/>
    <w:rsid w:val="00B06B89"/>
    <w:rsid w:val="00B0744A"/>
    <w:rsid w:val="00B15A4E"/>
    <w:rsid w:val="00B16551"/>
    <w:rsid w:val="00B20060"/>
    <w:rsid w:val="00B2161A"/>
    <w:rsid w:val="00B2351A"/>
    <w:rsid w:val="00B27032"/>
    <w:rsid w:val="00B27435"/>
    <w:rsid w:val="00B27621"/>
    <w:rsid w:val="00B3443C"/>
    <w:rsid w:val="00B36499"/>
    <w:rsid w:val="00B3724E"/>
    <w:rsid w:val="00B37F9B"/>
    <w:rsid w:val="00B40A2B"/>
    <w:rsid w:val="00B42C3B"/>
    <w:rsid w:val="00B43921"/>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47D5"/>
    <w:rsid w:val="00B75ADB"/>
    <w:rsid w:val="00B772F9"/>
    <w:rsid w:val="00B77F0A"/>
    <w:rsid w:val="00B82410"/>
    <w:rsid w:val="00B84AA7"/>
    <w:rsid w:val="00B85EA1"/>
    <w:rsid w:val="00B87A9C"/>
    <w:rsid w:val="00B90637"/>
    <w:rsid w:val="00B906ED"/>
    <w:rsid w:val="00B91FDC"/>
    <w:rsid w:val="00B92DB1"/>
    <w:rsid w:val="00B93821"/>
    <w:rsid w:val="00B96141"/>
    <w:rsid w:val="00B964EC"/>
    <w:rsid w:val="00BA0FED"/>
    <w:rsid w:val="00BA1A40"/>
    <w:rsid w:val="00BA23A1"/>
    <w:rsid w:val="00BA5C40"/>
    <w:rsid w:val="00BA651C"/>
    <w:rsid w:val="00BA6823"/>
    <w:rsid w:val="00BB0011"/>
    <w:rsid w:val="00BB196E"/>
    <w:rsid w:val="00BB2BC2"/>
    <w:rsid w:val="00BB3215"/>
    <w:rsid w:val="00BB36B7"/>
    <w:rsid w:val="00BB39FC"/>
    <w:rsid w:val="00BC05C7"/>
    <w:rsid w:val="00BC0801"/>
    <w:rsid w:val="00BC1182"/>
    <w:rsid w:val="00BC1262"/>
    <w:rsid w:val="00BC1978"/>
    <w:rsid w:val="00BC1C36"/>
    <w:rsid w:val="00BC1E5F"/>
    <w:rsid w:val="00BC2E3D"/>
    <w:rsid w:val="00BC3196"/>
    <w:rsid w:val="00BC49C4"/>
    <w:rsid w:val="00BC62BF"/>
    <w:rsid w:val="00BC7270"/>
    <w:rsid w:val="00BC7BCA"/>
    <w:rsid w:val="00BD2A2D"/>
    <w:rsid w:val="00BD3CA6"/>
    <w:rsid w:val="00BD3E38"/>
    <w:rsid w:val="00BD65A1"/>
    <w:rsid w:val="00BE27AC"/>
    <w:rsid w:val="00BE33DE"/>
    <w:rsid w:val="00BE4982"/>
    <w:rsid w:val="00BE4D37"/>
    <w:rsid w:val="00BE6DE8"/>
    <w:rsid w:val="00BE6F59"/>
    <w:rsid w:val="00BF00C6"/>
    <w:rsid w:val="00BF0AC1"/>
    <w:rsid w:val="00BF105E"/>
    <w:rsid w:val="00BF1B10"/>
    <w:rsid w:val="00BF1EE9"/>
    <w:rsid w:val="00BF2472"/>
    <w:rsid w:val="00BF2616"/>
    <w:rsid w:val="00BF3C11"/>
    <w:rsid w:val="00BF466B"/>
    <w:rsid w:val="00BF4954"/>
    <w:rsid w:val="00BF4BBE"/>
    <w:rsid w:val="00BF53BB"/>
    <w:rsid w:val="00BF5CC5"/>
    <w:rsid w:val="00C0015D"/>
    <w:rsid w:val="00C00DD0"/>
    <w:rsid w:val="00C016C6"/>
    <w:rsid w:val="00C03C39"/>
    <w:rsid w:val="00C04811"/>
    <w:rsid w:val="00C05DA4"/>
    <w:rsid w:val="00C05EEB"/>
    <w:rsid w:val="00C07084"/>
    <w:rsid w:val="00C11B13"/>
    <w:rsid w:val="00C11BCD"/>
    <w:rsid w:val="00C15175"/>
    <w:rsid w:val="00C179DB"/>
    <w:rsid w:val="00C20BCA"/>
    <w:rsid w:val="00C22699"/>
    <w:rsid w:val="00C22C18"/>
    <w:rsid w:val="00C238AD"/>
    <w:rsid w:val="00C278CA"/>
    <w:rsid w:val="00C307DA"/>
    <w:rsid w:val="00C30DC8"/>
    <w:rsid w:val="00C33685"/>
    <w:rsid w:val="00C346BD"/>
    <w:rsid w:val="00C37E84"/>
    <w:rsid w:val="00C422AE"/>
    <w:rsid w:val="00C43750"/>
    <w:rsid w:val="00C45BA8"/>
    <w:rsid w:val="00C46D52"/>
    <w:rsid w:val="00C46E10"/>
    <w:rsid w:val="00C47B70"/>
    <w:rsid w:val="00C50D87"/>
    <w:rsid w:val="00C52708"/>
    <w:rsid w:val="00C52F26"/>
    <w:rsid w:val="00C5516D"/>
    <w:rsid w:val="00C55177"/>
    <w:rsid w:val="00C563D8"/>
    <w:rsid w:val="00C57877"/>
    <w:rsid w:val="00C633D8"/>
    <w:rsid w:val="00C634B5"/>
    <w:rsid w:val="00C63788"/>
    <w:rsid w:val="00C647D7"/>
    <w:rsid w:val="00C647FC"/>
    <w:rsid w:val="00C657AE"/>
    <w:rsid w:val="00C67DBC"/>
    <w:rsid w:val="00C72FBC"/>
    <w:rsid w:val="00C73CC0"/>
    <w:rsid w:val="00C74D8C"/>
    <w:rsid w:val="00C80566"/>
    <w:rsid w:val="00C81146"/>
    <w:rsid w:val="00C81CE7"/>
    <w:rsid w:val="00C830EC"/>
    <w:rsid w:val="00C831B7"/>
    <w:rsid w:val="00C84101"/>
    <w:rsid w:val="00C84180"/>
    <w:rsid w:val="00C84FE6"/>
    <w:rsid w:val="00C86198"/>
    <w:rsid w:val="00C86E8A"/>
    <w:rsid w:val="00C923E8"/>
    <w:rsid w:val="00C93600"/>
    <w:rsid w:val="00C941A6"/>
    <w:rsid w:val="00C948A3"/>
    <w:rsid w:val="00C96445"/>
    <w:rsid w:val="00CA136C"/>
    <w:rsid w:val="00CA1D61"/>
    <w:rsid w:val="00CA20D8"/>
    <w:rsid w:val="00CA3E91"/>
    <w:rsid w:val="00CA457F"/>
    <w:rsid w:val="00CA4A10"/>
    <w:rsid w:val="00CA5103"/>
    <w:rsid w:val="00CA5B28"/>
    <w:rsid w:val="00CA7040"/>
    <w:rsid w:val="00CB12BE"/>
    <w:rsid w:val="00CB2603"/>
    <w:rsid w:val="00CB2C7D"/>
    <w:rsid w:val="00CB644A"/>
    <w:rsid w:val="00CB6F2B"/>
    <w:rsid w:val="00CB7144"/>
    <w:rsid w:val="00CB771E"/>
    <w:rsid w:val="00CC0A0E"/>
    <w:rsid w:val="00CC2239"/>
    <w:rsid w:val="00CC5766"/>
    <w:rsid w:val="00CC7A05"/>
    <w:rsid w:val="00CD0F9E"/>
    <w:rsid w:val="00CD1658"/>
    <w:rsid w:val="00CD167A"/>
    <w:rsid w:val="00CD21E5"/>
    <w:rsid w:val="00CD288F"/>
    <w:rsid w:val="00CD348F"/>
    <w:rsid w:val="00CD3F0E"/>
    <w:rsid w:val="00CD5CA1"/>
    <w:rsid w:val="00CD610C"/>
    <w:rsid w:val="00CD61FF"/>
    <w:rsid w:val="00CE217F"/>
    <w:rsid w:val="00CE2E68"/>
    <w:rsid w:val="00CE607E"/>
    <w:rsid w:val="00CE6331"/>
    <w:rsid w:val="00CE6D5C"/>
    <w:rsid w:val="00CF050B"/>
    <w:rsid w:val="00CF0907"/>
    <w:rsid w:val="00CF0A2A"/>
    <w:rsid w:val="00CF14AA"/>
    <w:rsid w:val="00CF1AE5"/>
    <w:rsid w:val="00CF2C1C"/>
    <w:rsid w:val="00CF538B"/>
    <w:rsid w:val="00CF7288"/>
    <w:rsid w:val="00D0116E"/>
    <w:rsid w:val="00D03159"/>
    <w:rsid w:val="00D03AF5"/>
    <w:rsid w:val="00D06DEF"/>
    <w:rsid w:val="00D07817"/>
    <w:rsid w:val="00D10A01"/>
    <w:rsid w:val="00D118AB"/>
    <w:rsid w:val="00D13241"/>
    <w:rsid w:val="00D162A4"/>
    <w:rsid w:val="00D16652"/>
    <w:rsid w:val="00D206DE"/>
    <w:rsid w:val="00D22E77"/>
    <w:rsid w:val="00D22F3A"/>
    <w:rsid w:val="00D23C67"/>
    <w:rsid w:val="00D2424D"/>
    <w:rsid w:val="00D269B1"/>
    <w:rsid w:val="00D31BDD"/>
    <w:rsid w:val="00D32070"/>
    <w:rsid w:val="00D33A10"/>
    <w:rsid w:val="00D4076D"/>
    <w:rsid w:val="00D408AA"/>
    <w:rsid w:val="00D424F3"/>
    <w:rsid w:val="00D446D7"/>
    <w:rsid w:val="00D5081E"/>
    <w:rsid w:val="00D521A0"/>
    <w:rsid w:val="00D52D19"/>
    <w:rsid w:val="00D54321"/>
    <w:rsid w:val="00D568B2"/>
    <w:rsid w:val="00D612F5"/>
    <w:rsid w:val="00D629EA"/>
    <w:rsid w:val="00D63E1C"/>
    <w:rsid w:val="00D6687F"/>
    <w:rsid w:val="00D668A6"/>
    <w:rsid w:val="00D66ED2"/>
    <w:rsid w:val="00D67943"/>
    <w:rsid w:val="00D705E5"/>
    <w:rsid w:val="00D70715"/>
    <w:rsid w:val="00D707CD"/>
    <w:rsid w:val="00D70899"/>
    <w:rsid w:val="00D72549"/>
    <w:rsid w:val="00D72A4A"/>
    <w:rsid w:val="00D73253"/>
    <w:rsid w:val="00D75504"/>
    <w:rsid w:val="00D81292"/>
    <w:rsid w:val="00D83194"/>
    <w:rsid w:val="00D83783"/>
    <w:rsid w:val="00D850FF"/>
    <w:rsid w:val="00D8774A"/>
    <w:rsid w:val="00D91AFE"/>
    <w:rsid w:val="00D91B40"/>
    <w:rsid w:val="00D91F37"/>
    <w:rsid w:val="00D92878"/>
    <w:rsid w:val="00D9768C"/>
    <w:rsid w:val="00DA0606"/>
    <w:rsid w:val="00DA3BF7"/>
    <w:rsid w:val="00DA46A6"/>
    <w:rsid w:val="00DA5535"/>
    <w:rsid w:val="00DB05E2"/>
    <w:rsid w:val="00DB310C"/>
    <w:rsid w:val="00DB3872"/>
    <w:rsid w:val="00DB552D"/>
    <w:rsid w:val="00DB6B32"/>
    <w:rsid w:val="00DC17BE"/>
    <w:rsid w:val="00DC37F6"/>
    <w:rsid w:val="00DC3C7D"/>
    <w:rsid w:val="00DD094E"/>
    <w:rsid w:val="00DD1852"/>
    <w:rsid w:val="00DD2D45"/>
    <w:rsid w:val="00DD30CD"/>
    <w:rsid w:val="00DD3704"/>
    <w:rsid w:val="00DD6580"/>
    <w:rsid w:val="00DD7403"/>
    <w:rsid w:val="00DD7E48"/>
    <w:rsid w:val="00DE1E99"/>
    <w:rsid w:val="00DE236F"/>
    <w:rsid w:val="00DE29FF"/>
    <w:rsid w:val="00DE2C91"/>
    <w:rsid w:val="00DE3D52"/>
    <w:rsid w:val="00DE46D4"/>
    <w:rsid w:val="00DE489D"/>
    <w:rsid w:val="00DE58CC"/>
    <w:rsid w:val="00DE6C01"/>
    <w:rsid w:val="00DF0B77"/>
    <w:rsid w:val="00DF0C6D"/>
    <w:rsid w:val="00DF148C"/>
    <w:rsid w:val="00DF4B48"/>
    <w:rsid w:val="00DF7FB6"/>
    <w:rsid w:val="00E02325"/>
    <w:rsid w:val="00E03567"/>
    <w:rsid w:val="00E03EBF"/>
    <w:rsid w:val="00E048BB"/>
    <w:rsid w:val="00E04EAC"/>
    <w:rsid w:val="00E05B3A"/>
    <w:rsid w:val="00E05B65"/>
    <w:rsid w:val="00E05BDE"/>
    <w:rsid w:val="00E22C5A"/>
    <w:rsid w:val="00E252A2"/>
    <w:rsid w:val="00E30CB5"/>
    <w:rsid w:val="00E31287"/>
    <w:rsid w:val="00E31433"/>
    <w:rsid w:val="00E31489"/>
    <w:rsid w:val="00E3492B"/>
    <w:rsid w:val="00E402C0"/>
    <w:rsid w:val="00E40929"/>
    <w:rsid w:val="00E42EBE"/>
    <w:rsid w:val="00E4354D"/>
    <w:rsid w:val="00E44037"/>
    <w:rsid w:val="00E444B0"/>
    <w:rsid w:val="00E51A3F"/>
    <w:rsid w:val="00E55D74"/>
    <w:rsid w:val="00E56099"/>
    <w:rsid w:val="00E564EB"/>
    <w:rsid w:val="00E62018"/>
    <w:rsid w:val="00E64614"/>
    <w:rsid w:val="00E647EC"/>
    <w:rsid w:val="00E6609F"/>
    <w:rsid w:val="00E67749"/>
    <w:rsid w:val="00E67848"/>
    <w:rsid w:val="00E7064A"/>
    <w:rsid w:val="00E70A82"/>
    <w:rsid w:val="00E71B5B"/>
    <w:rsid w:val="00E71DC6"/>
    <w:rsid w:val="00E74A3A"/>
    <w:rsid w:val="00E75E1E"/>
    <w:rsid w:val="00E76E05"/>
    <w:rsid w:val="00E813E6"/>
    <w:rsid w:val="00E815C7"/>
    <w:rsid w:val="00E81779"/>
    <w:rsid w:val="00E81A8F"/>
    <w:rsid w:val="00E85C37"/>
    <w:rsid w:val="00E86133"/>
    <w:rsid w:val="00E865C4"/>
    <w:rsid w:val="00E874F1"/>
    <w:rsid w:val="00E923AF"/>
    <w:rsid w:val="00E9271C"/>
    <w:rsid w:val="00E93CBC"/>
    <w:rsid w:val="00E93FCA"/>
    <w:rsid w:val="00E94EF5"/>
    <w:rsid w:val="00E96A25"/>
    <w:rsid w:val="00E975ED"/>
    <w:rsid w:val="00EA1479"/>
    <w:rsid w:val="00EA299C"/>
    <w:rsid w:val="00EA4DCA"/>
    <w:rsid w:val="00EA5E47"/>
    <w:rsid w:val="00EA772B"/>
    <w:rsid w:val="00EA7D97"/>
    <w:rsid w:val="00EB16F7"/>
    <w:rsid w:val="00EB1B38"/>
    <w:rsid w:val="00EB31D0"/>
    <w:rsid w:val="00EB5384"/>
    <w:rsid w:val="00EC03C8"/>
    <w:rsid w:val="00EC2363"/>
    <w:rsid w:val="00EC4BED"/>
    <w:rsid w:val="00EC7B8F"/>
    <w:rsid w:val="00ED1FCB"/>
    <w:rsid w:val="00ED2D37"/>
    <w:rsid w:val="00ED6ABF"/>
    <w:rsid w:val="00EE3B2E"/>
    <w:rsid w:val="00EE724A"/>
    <w:rsid w:val="00EF0401"/>
    <w:rsid w:val="00EF4C51"/>
    <w:rsid w:val="00EF547D"/>
    <w:rsid w:val="00EF6575"/>
    <w:rsid w:val="00F013A7"/>
    <w:rsid w:val="00F01541"/>
    <w:rsid w:val="00F03C0F"/>
    <w:rsid w:val="00F05241"/>
    <w:rsid w:val="00F068C8"/>
    <w:rsid w:val="00F1059C"/>
    <w:rsid w:val="00F1149B"/>
    <w:rsid w:val="00F169D2"/>
    <w:rsid w:val="00F206AA"/>
    <w:rsid w:val="00F20D0B"/>
    <w:rsid w:val="00F21C9A"/>
    <w:rsid w:val="00F23137"/>
    <w:rsid w:val="00F2571C"/>
    <w:rsid w:val="00F3081D"/>
    <w:rsid w:val="00F30CAC"/>
    <w:rsid w:val="00F317BD"/>
    <w:rsid w:val="00F3348B"/>
    <w:rsid w:val="00F34057"/>
    <w:rsid w:val="00F34768"/>
    <w:rsid w:val="00F35935"/>
    <w:rsid w:val="00F35CE5"/>
    <w:rsid w:val="00F35E30"/>
    <w:rsid w:val="00F40886"/>
    <w:rsid w:val="00F41C0D"/>
    <w:rsid w:val="00F45FC3"/>
    <w:rsid w:val="00F47185"/>
    <w:rsid w:val="00F478AE"/>
    <w:rsid w:val="00F50D47"/>
    <w:rsid w:val="00F562F9"/>
    <w:rsid w:val="00F56DF1"/>
    <w:rsid w:val="00F6041B"/>
    <w:rsid w:val="00F61291"/>
    <w:rsid w:val="00F62704"/>
    <w:rsid w:val="00F631AD"/>
    <w:rsid w:val="00F65345"/>
    <w:rsid w:val="00F66506"/>
    <w:rsid w:val="00F66752"/>
    <w:rsid w:val="00F66934"/>
    <w:rsid w:val="00F67DF8"/>
    <w:rsid w:val="00F70DB4"/>
    <w:rsid w:val="00F728E6"/>
    <w:rsid w:val="00F739A4"/>
    <w:rsid w:val="00F74191"/>
    <w:rsid w:val="00F74339"/>
    <w:rsid w:val="00F814DA"/>
    <w:rsid w:val="00F81F16"/>
    <w:rsid w:val="00F83C71"/>
    <w:rsid w:val="00F8437F"/>
    <w:rsid w:val="00F85520"/>
    <w:rsid w:val="00F873D5"/>
    <w:rsid w:val="00F9126D"/>
    <w:rsid w:val="00F91F03"/>
    <w:rsid w:val="00F94209"/>
    <w:rsid w:val="00F953F0"/>
    <w:rsid w:val="00FA10C9"/>
    <w:rsid w:val="00FA17CC"/>
    <w:rsid w:val="00FA23D2"/>
    <w:rsid w:val="00FA2FAB"/>
    <w:rsid w:val="00FA30E9"/>
    <w:rsid w:val="00FA3A2C"/>
    <w:rsid w:val="00FA5946"/>
    <w:rsid w:val="00FA5F85"/>
    <w:rsid w:val="00FB4690"/>
    <w:rsid w:val="00FC08D3"/>
    <w:rsid w:val="00FC0F81"/>
    <w:rsid w:val="00FC137A"/>
    <w:rsid w:val="00FC3EC8"/>
    <w:rsid w:val="00FC41F0"/>
    <w:rsid w:val="00FC4297"/>
    <w:rsid w:val="00FC68FB"/>
    <w:rsid w:val="00FC6C3D"/>
    <w:rsid w:val="00FD48B6"/>
    <w:rsid w:val="00FD6C0F"/>
    <w:rsid w:val="00FE0234"/>
    <w:rsid w:val="00FE1CC4"/>
    <w:rsid w:val="00FE1D26"/>
    <w:rsid w:val="00FE4807"/>
    <w:rsid w:val="00FE5CD9"/>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F951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683555972">
      <w:bodyDiv w:val="1"/>
      <w:marLeft w:val="0"/>
      <w:marRight w:val="0"/>
      <w:marTop w:val="0"/>
      <w:marBottom w:val="0"/>
      <w:divBdr>
        <w:top w:val="none" w:sz="0" w:space="0" w:color="auto"/>
        <w:left w:val="none" w:sz="0" w:space="0" w:color="auto"/>
        <w:bottom w:val="none" w:sz="0" w:space="0" w:color="auto"/>
        <w:right w:val="none" w:sz="0" w:space="0" w:color="auto"/>
      </w:divBdr>
      <w:divsChild>
        <w:div w:id="167915190">
          <w:marLeft w:val="274"/>
          <w:marRight w:val="0"/>
          <w:marTop w:val="77"/>
          <w:marBottom w:val="0"/>
          <w:divBdr>
            <w:top w:val="none" w:sz="0" w:space="0" w:color="auto"/>
            <w:left w:val="none" w:sz="0" w:space="0" w:color="auto"/>
            <w:bottom w:val="none" w:sz="0" w:space="0" w:color="auto"/>
            <w:right w:val="none" w:sz="0" w:space="0" w:color="auto"/>
          </w:divBdr>
        </w:div>
        <w:div w:id="224529870">
          <w:marLeft w:val="835"/>
          <w:marRight w:val="0"/>
          <w:marTop w:val="77"/>
          <w:marBottom w:val="0"/>
          <w:divBdr>
            <w:top w:val="none" w:sz="0" w:space="0" w:color="auto"/>
            <w:left w:val="none" w:sz="0" w:space="0" w:color="auto"/>
            <w:bottom w:val="none" w:sz="0" w:space="0" w:color="auto"/>
            <w:right w:val="none" w:sz="0" w:space="0" w:color="auto"/>
          </w:divBdr>
        </w:div>
        <w:div w:id="1365864837">
          <w:marLeft w:val="1411"/>
          <w:marRight w:val="0"/>
          <w:marTop w:val="77"/>
          <w:marBottom w:val="0"/>
          <w:divBdr>
            <w:top w:val="none" w:sz="0" w:space="0" w:color="auto"/>
            <w:left w:val="none" w:sz="0" w:space="0" w:color="auto"/>
            <w:bottom w:val="none" w:sz="0" w:space="0" w:color="auto"/>
            <w:right w:val="none" w:sz="0" w:space="0" w:color="auto"/>
          </w:divBdr>
        </w:div>
        <w:div w:id="1670983220">
          <w:marLeft w:val="835"/>
          <w:marRight w:val="0"/>
          <w:marTop w:val="77"/>
          <w:marBottom w:val="0"/>
          <w:divBdr>
            <w:top w:val="none" w:sz="0" w:space="0" w:color="auto"/>
            <w:left w:val="none" w:sz="0" w:space="0" w:color="auto"/>
            <w:bottom w:val="none" w:sz="0" w:space="0" w:color="auto"/>
            <w:right w:val="none" w:sz="0" w:space="0" w:color="auto"/>
          </w:divBdr>
        </w:div>
      </w:divsChild>
    </w:div>
    <w:div w:id="810558060">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01471278">
      <w:bodyDiv w:val="1"/>
      <w:marLeft w:val="0"/>
      <w:marRight w:val="0"/>
      <w:marTop w:val="0"/>
      <w:marBottom w:val="0"/>
      <w:divBdr>
        <w:top w:val="none" w:sz="0" w:space="0" w:color="auto"/>
        <w:left w:val="none" w:sz="0" w:space="0" w:color="auto"/>
        <w:bottom w:val="none" w:sz="0" w:space="0" w:color="auto"/>
        <w:right w:val="none" w:sz="0" w:space="0" w:color="auto"/>
      </w:divBdr>
      <w:divsChild>
        <w:div w:id="443548408">
          <w:marLeft w:val="274"/>
          <w:marRight w:val="0"/>
          <w:marTop w:val="67"/>
          <w:marBottom w:val="0"/>
          <w:divBdr>
            <w:top w:val="none" w:sz="0" w:space="0" w:color="auto"/>
            <w:left w:val="none" w:sz="0" w:space="0" w:color="auto"/>
            <w:bottom w:val="none" w:sz="0" w:space="0" w:color="auto"/>
            <w:right w:val="none" w:sz="0" w:space="0" w:color="auto"/>
          </w:divBdr>
        </w:div>
        <w:div w:id="149257407">
          <w:marLeft w:val="835"/>
          <w:marRight w:val="0"/>
          <w:marTop w:val="67"/>
          <w:marBottom w:val="0"/>
          <w:divBdr>
            <w:top w:val="none" w:sz="0" w:space="0" w:color="auto"/>
            <w:left w:val="none" w:sz="0" w:space="0" w:color="auto"/>
            <w:bottom w:val="none" w:sz="0" w:space="0" w:color="auto"/>
            <w:right w:val="none" w:sz="0" w:space="0" w:color="auto"/>
          </w:divBdr>
        </w:div>
        <w:div w:id="1392344173">
          <w:marLeft w:val="835"/>
          <w:marRight w:val="0"/>
          <w:marTop w:val="67"/>
          <w:marBottom w:val="0"/>
          <w:divBdr>
            <w:top w:val="none" w:sz="0" w:space="0" w:color="auto"/>
            <w:left w:val="none" w:sz="0" w:space="0" w:color="auto"/>
            <w:bottom w:val="none" w:sz="0" w:space="0" w:color="auto"/>
            <w:right w:val="none" w:sz="0" w:space="0" w:color="auto"/>
          </w:divBdr>
        </w:div>
        <w:div w:id="257301324">
          <w:marLeft w:val="835"/>
          <w:marRight w:val="0"/>
          <w:marTop w:val="67"/>
          <w:marBottom w:val="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 w:id="2147316004">
      <w:bodyDiv w:val="1"/>
      <w:marLeft w:val="0"/>
      <w:marRight w:val="0"/>
      <w:marTop w:val="0"/>
      <w:marBottom w:val="0"/>
      <w:divBdr>
        <w:top w:val="none" w:sz="0" w:space="0" w:color="auto"/>
        <w:left w:val="none" w:sz="0" w:space="0" w:color="auto"/>
        <w:bottom w:val="none" w:sz="0" w:space="0" w:color="auto"/>
        <w:right w:val="none" w:sz="0" w:space="0" w:color="auto"/>
      </w:divBdr>
      <w:divsChild>
        <w:div w:id="1774932484">
          <w:marLeft w:val="274"/>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7" ma:contentTypeDescription="Create a new document." ma:contentTypeScope="" ma:versionID="52b9b8f2d731091afa965e4a61bcb838">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4f2b573e0381b5143563cd16bcb08b3d"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F86BBC-3914-49D1-B128-9CBF3B1EFE1D}">
  <ds:schemaRefs>
    <ds:schemaRef ds:uri="http://schemas.microsoft.com/sharepoint/v3/contenttype/forms"/>
  </ds:schemaRefs>
</ds:datastoreItem>
</file>

<file path=customXml/itemProps2.xml><?xml version="1.0" encoding="utf-8"?>
<ds:datastoreItem xmlns:ds="http://schemas.openxmlformats.org/officeDocument/2006/customXml" ds:itemID="{BCFA3F8D-3B7A-4145-B834-2F67D10A92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275F12-D474-4AAA-A460-FD20F5354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A7A3AA-402F-46E4-86E8-9B06C7B21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1608</Words>
  <Characters>9172</Characters>
  <Application>Microsoft Office Word</Application>
  <DocSecurity>0</DocSecurity>
  <Lines>76</Lines>
  <Paragraphs>21</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Shabnam Sultana</cp:lastModifiedBy>
  <cp:revision>8</cp:revision>
  <cp:lastPrinted>2018-04-24T20:10:00Z</cp:lastPrinted>
  <dcterms:created xsi:type="dcterms:W3CDTF">2019-02-14T07:16:00Z</dcterms:created>
  <dcterms:modified xsi:type="dcterms:W3CDTF">2019-02-19T03:16:00Z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y fmtid="{D5CDD505-2E9C-101B-9397-08002B2CF9AE}" pid="20" name="ContentTypeId">
    <vt:lpwstr>0x010100DCBEDC692EFEDB4F8736363E6653DB76</vt:lpwstr>
  </property>
</Properties>
</file>